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0A305F" w14:textId="77777777" w:rsidR="00C24E7F" w:rsidRDefault="00B01AD7">
      <w:pPr>
        <w:pStyle w:val="BodyText"/>
        <w:rPr>
          <w:rFonts w:ascii="Times New Roman"/>
        </w:rPr>
      </w:pPr>
      <w:r>
        <w:pict w14:anchorId="190A3128">
          <v:group id="_x0000_s1035" style="position:absolute;margin-left:-.5pt;margin-top:35.8pt;width:595.6pt;height:567.95pt;z-index:-15865344;mso-position-horizontal-relative:page;mso-position-vertical-relative:page" coordorigin="-10,716" coordsize="11912,11359">
            <v:shape id="_x0000_s1042" style="position:absolute;top:3316;width:9396;height:6273" coordorigin=",3316" coordsize="9396,6273" path="m,9589r5527,l9396,3316,,3316e" filled="f" strokecolor="#8dc53e" strokeweight="1pt">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1" type="#_x0000_t75" style="position:absolute;left:5242;top:5292;width:6660;height:6280">
              <v:imagedata r:id="rId10" o:title=""/>
            </v:shape>
            <v:shape id="_x0000_s1040" style="position:absolute;left:1204;top:11026;width:3651;height:396" coordorigin="1204,11026" coordsize="3651,396" path="m4855,11026r-3402,l1204,11422r3401,l4855,11026xe" fillcolor="#004674" stroked="f">
              <v:path arrowok="t"/>
            </v:shape>
            <v:shape id="_x0000_s1039" style="position:absolute;left:2108;top:716;width:7959;height:11359" coordorigin="2109,716" coordsize="7959,11359" o:spt="100" adj="0,,0" path="m2696,1661l2109,716r,601l2509,1962r187,-301xm9759,4506r-283,l4778,12075r279,l9759,4506xm10068,2551r-283,l4855,10502r283,l10068,2551xe" fillcolor="#8dc53e" stroked="f">
              <v:stroke joinstyle="round"/>
              <v:formulas/>
              <v:path arrowok="t" o:connecttype="segments"/>
            </v:shape>
            <v:shape id="_x0000_s1038" style="position:absolute;left:2109;top:1661;width:587;height:1546" coordorigin="2109,1661" coordsize="587,1546" path="m2696,1661r-587,945l2109,3207r587,-945l2696,1661xe" fillcolor="#6c6d70" stroked="f">
              <v:path arrowok="t"/>
            </v:shape>
            <v:shape id="_x0000_s1037" style="position:absolute;left:2720;top:716;width:587;height:1246" coordorigin="2720,716" coordsize="587,1246" path="m2720,716r,601l3120,1962r187,-301l2720,716xe" fillcolor="#8dc53e" stroked="f">
              <v:path arrowok="t"/>
            </v:shape>
            <v:shape id="_x0000_s1036" style="position:absolute;left:2720;top:1661;width:587;height:1546" coordorigin="2720,1661" coordsize="587,1546" path="m3307,1661r-587,945l2720,3207r587,-945l3307,1661xe" fillcolor="#6c6d70" stroked="f">
              <v:path arrowok="t"/>
            </v:shape>
            <w10:wrap anchorx="page" anchory="page"/>
          </v:group>
        </w:pict>
      </w:r>
    </w:p>
    <w:p w14:paraId="190A3060" w14:textId="77777777" w:rsidR="00C24E7F" w:rsidRDefault="00C24E7F">
      <w:pPr>
        <w:pStyle w:val="BodyText"/>
        <w:rPr>
          <w:rFonts w:ascii="Times New Roman"/>
        </w:rPr>
      </w:pPr>
    </w:p>
    <w:p w14:paraId="190A3061" w14:textId="77777777" w:rsidR="00C24E7F" w:rsidRDefault="00C24E7F">
      <w:pPr>
        <w:pStyle w:val="BodyText"/>
        <w:rPr>
          <w:rFonts w:ascii="Times New Roman"/>
        </w:rPr>
      </w:pPr>
    </w:p>
    <w:p w14:paraId="190A3062" w14:textId="77777777" w:rsidR="00C24E7F" w:rsidRDefault="00C24E7F">
      <w:pPr>
        <w:pStyle w:val="BodyText"/>
        <w:rPr>
          <w:rFonts w:ascii="Times New Roman"/>
        </w:rPr>
      </w:pPr>
    </w:p>
    <w:p w14:paraId="190A3063" w14:textId="77777777" w:rsidR="00C24E7F" w:rsidRDefault="00C24E7F">
      <w:pPr>
        <w:pStyle w:val="BodyText"/>
        <w:rPr>
          <w:rFonts w:ascii="Times New Roman"/>
        </w:rPr>
      </w:pPr>
    </w:p>
    <w:p w14:paraId="190A3064" w14:textId="77777777" w:rsidR="00C24E7F" w:rsidRDefault="00C24E7F">
      <w:pPr>
        <w:pStyle w:val="BodyText"/>
        <w:rPr>
          <w:rFonts w:ascii="Times New Roman"/>
        </w:rPr>
      </w:pPr>
    </w:p>
    <w:p w14:paraId="190A3065" w14:textId="77777777" w:rsidR="00C24E7F" w:rsidRDefault="00C24E7F">
      <w:pPr>
        <w:pStyle w:val="BodyText"/>
        <w:rPr>
          <w:rFonts w:ascii="Times New Roman"/>
        </w:rPr>
      </w:pPr>
    </w:p>
    <w:p w14:paraId="190A3066" w14:textId="77777777" w:rsidR="00C24E7F" w:rsidRDefault="00C24E7F">
      <w:pPr>
        <w:pStyle w:val="BodyText"/>
        <w:rPr>
          <w:rFonts w:ascii="Times New Roman"/>
        </w:rPr>
      </w:pPr>
    </w:p>
    <w:p w14:paraId="190A3067" w14:textId="77777777" w:rsidR="00C24E7F" w:rsidRDefault="00C24E7F">
      <w:pPr>
        <w:pStyle w:val="BodyText"/>
        <w:rPr>
          <w:rFonts w:ascii="Times New Roman"/>
        </w:rPr>
      </w:pPr>
    </w:p>
    <w:p w14:paraId="190A3068" w14:textId="77777777" w:rsidR="00C24E7F" w:rsidRDefault="00C24E7F">
      <w:pPr>
        <w:pStyle w:val="BodyText"/>
        <w:rPr>
          <w:rFonts w:ascii="Times New Roman"/>
        </w:rPr>
      </w:pPr>
    </w:p>
    <w:p w14:paraId="190A3069" w14:textId="77777777" w:rsidR="00C24E7F" w:rsidRDefault="00C24E7F">
      <w:pPr>
        <w:pStyle w:val="BodyText"/>
        <w:rPr>
          <w:rFonts w:ascii="Times New Roman"/>
        </w:rPr>
      </w:pPr>
    </w:p>
    <w:p w14:paraId="190A306A" w14:textId="77777777" w:rsidR="00C24E7F" w:rsidRDefault="00B01AD7" w:rsidP="002439EA">
      <w:pPr>
        <w:pStyle w:val="Heading1"/>
        <w:spacing w:before="222" w:line="264" w:lineRule="auto"/>
        <w:ind w:left="426" w:right="2651"/>
      </w:pPr>
      <w:r>
        <w:rPr>
          <w:color w:val="57585B"/>
        </w:rPr>
        <w:t>Препоръка на Съвета за подобряване на изпълнението</w:t>
      </w:r>
    </w:p>
    <w:p w14:paraId="627CA582" w14:textId="77777777" w:rsidR="002439EA" w:rsidRDefault="00B01AD7" w:rsidP="002439EA">
      <w:pPr>
        <w:ind w:left="2595" w:hanging="2028"/>
        <w:rPr>
          <w:color w:val="57585B"/>
          <w:sz w:val="40"/>
        </w:rPr>
      </w:pPr>
      <w:r>
        <w:rPr>
          <w:color w:val="57585B"/>
          <w:sz w:val="40"/>
        </w:rPr>
        <w:t xml:space="preserve">на политиката по околна среда </w:t>
      </w:r>
    </w:p>
    <w:p w14:paraId="190A306C" w14:textId="0284A199" w:rsidR="00C24E7F" w:rsidRPr="002439EA" w:rsidRDefault="00B01AD7" w:rsidP="002439EA">
      <w:pPr>
        <w:ind w:left="2595" w:hanging="1886"/>
        <w:rPr>
          <w:sz w:val="40"/>
        </w:rPr>
      </w:pPr>
      <w:r>
        <w:rPr>
          <w:color w:val="57585B"/>
          <w:sz w:val="40"/>
        </w:rPr>
        <w:t>при обществените</w:t>
      </w:r>
      <w:r w:rsidR="002439EA">
        <w:rPr>
          <w:color w:val="57585B"/>
          <w:sz w:val="40"/>
          <w:lang/>
        </w:rPr>
        <w:t xml:space="preserve"> </w:t>
      </w:r>
      <w:r w:rsidRPr="002439EA">
        <w:rPr>
          <w:color w:val="57585B"/>
          <w:sz w:val="40"/>
          <w:szCs w:val="40"/>
        </w:rPr>
        <w:t>поръчки</w:t>
      </w:r>
    </w:p>
    <w:p w14:paraId="190A306D" w14:textId="77777777" w:rsidR="00C24E7F" w:rsidRDefault="00C24E7F">
      <w:pPr>
        <w:pStyle w:val="BodyText"/>
      </w:pPr>
    </w:p>
    <w:p w14:paraId="190A306E" w14:textId="77777777" w:rsidR="00C24E7F" w:rsidRDefault="00C24E7F">
      <w:pPr>
        <w:pStyle w:val="BodyText"/>
      </w:pPr>
    </w:p>
    <w:p w14:paraId="190A306F" w14:textId="77777777" w:rsidR="00C24E7F" w:rsidRDefault="00C24E7F">
      <w:pPr>
        <w:pStyle w:val="BodyText"/>
      </w:pPr>
    </w:p>
    <w:p w14:paraId="190A3070" w14:textId="77777777" w:rsidR="00C24E7F" w:rsidRDefault="00C24E7F">
      <w:pPr>
        <w:pStyle w:val="BodyText"/>
      </w:pPr>
    </w:p>
    <w:p w14:paraId="190A3071" w14:textId="77777777" w:rsidR="00C24E7F" w:rsidRDefault="00C24E7F">
      <w:pPr>
        <w:pStyle w:val="BodyText"/>
      </w:pPr>
    </w:p>
    <w:p w14:paraId="190A3072" w14:textId="77777777" w:rsidR="00C24E7F" w:rsidRDefault="00C24E7F">
      <w:pPr>
        <w:pStyle w:val="BodyText"/>
      </w:pPr>
    </w:p>
    <w:p w14:paraId="190A3073" w14:textId="77777777" w:rsidR="00C24E7F" w:rsidRDefault="00C24E7F">
      <w:pPr>
        <w:pStyle w:val="BodyText"/>
      </w:pPr>
    </w:p>
    <w:p w14:paraId="190A3074" w14:textId="77777777" w:rsidR="00C24E7F" w:rsidRDefault="00C24E7F">
      <w:pPr>
        <w:pStyle w:val="BodyText"/>
      </w:pPr>
    </w:p>
    <w:p w14:paraId="190A3075" w14:textId="77777777" w:rsidR="00C24E7F" w:rsidRDefault="00C24E7F">
      <w:pPr>
        <w:pStyle w:val="BodyText"/>
      </w:pPr>
    </w:p>
    <w:p w14:paraId="190A3076" w14:textId="77777777" w:rsidR="00C24E7F" w:rsidRDefault="00C24E7F">
      <w:pPr>
        <w:pStyle w:val="BodyText"/>
      </w:pPr>
    </w:p>
    <w:p w14:paraId="190A3077" w14:textId="77777777" w:rsidR="00C24E7F" w:rsidRDefault="00C24E7F">
      <w:pPr>
        <w:pStyle w:val="BodyText"/>
      </w:pPr>
    </w:p>
    <w:p w14:paraId="190A3078" w14:textId="77777777" w:rsidR="00C24E7F" w:rsidRDefault="00C24E7F">
      <w:pPr>
        <w:pStyle w:val="BodyText"/>
      </w:pPr>
    </w:p>
    <w:p w14:paraId="190A3079" w14:textId="77777777" w:rsidR="00C24E7F" w:rsidRDefault="00C24E7F">
      <w:pPr>
        <w:pStyle w:val="BodyText"/>
      </w:pPr>
    </w:p>
    <w:p w14:paraId="190A307A" w14:textId="77777777" w:rsidR="00C24E7F" w:rsidRDefault="00C24E7F">
      <w:pPr>
        <w:pStyle w:val="BodyText"/>
      </w:pPr>
    </w:p>
    <w:p w14:paraId="190A307B" w14:textId="77777777" w:rsidR="00C24E7F" w:rsidRDefault="00C24E7F">
      <w:pPr>
        <w:pStyle w:val="BodyText"/>
      </w:pPr>
    </w:p>
    <w:p w14:paraId="190A307C" w14:textId="77777777" w:rsidR="00C24E7F" w:rsidRDefault="00C24E7F">
      <w:pPr>
        <w:pStyle w:val="BodyText"/>
      </w:pPr>
    </w:p>
    <w:p w14:paraId="190A307D" w14:textId="77777777" w:rsidR="00C24E7F" w:rsidRDefault="00C24E7F">
      <w:pPr>
        <w:pStyle w:val="BodyText"/>
      </w:pPr>
    </w:p>
    <w:p w14:paraId="190A307E" w14:textId="77777777" w:rsidR="00C24E7F" w:rsidRDefault="00C24E7F">
      <w:pPr>
        <w:pStyle w:val="BodyText"/>
      </w:pPr>
    </w:p>
    <w:p w14:paraId="190A307F" w14:textId="77777777" w:rsidR="00C24E7F" w:rsidRDefault="00C24E7F">
      <w:pPr>
        <w:pStyle w:val="BodyText"/>
      </w:pPr>
    </w:p>
    <w:p w14:paraId="190A3080" w14:textId="77777777" w:rsidR="00C24E7F" w:rsidRDefault="00C24E7F">
      <w:pPr>
        <w:pStyle w:val="BodyText"/>
      </w:pPr>
    </w:p>
    <w:p w14:paraId="190A3081" w14:textId="77777777" w:rsidR="00C24E7F" w:rsidRDefault="00C24E7F">
      <w:pPr>
        <w:pStyle w:val="BodyText"/>
      </w:pPr>
    </w:p>
    <w:p w14:paraId="190A3082" w14:textId="77777777" w:rsidR="00C24E7F" w:rsidRDefault="00C24E7F">
      <w:pPr>
        <w:pStyle w:val="BodyText"/>
      </w:pPr>
    </w:p>
    <w:p w14:paraId="190A3083" w14:textId="77777777" w:rsidR="00C24E7F" w:rsidRDefault="00C24E7F">
      <w:pPr>
        <w:pStyle w:val="BodyText"/>
      </w:pPr>
    </w:p>
    <w:p w14:paraId="190A3084" w14:textId="77777777" w:rsidR="00C24E7F" w:rsidRDefault="00C24E7F">
      <w:pPr>
        <w:pStyle w:val="BodyText"/>
      </w:pPr>
    </w:p>
    <w:p w14:paraId="190A3085" w14:textId="77777777" w:rsidR="00C24E7F" w:rsidRDefault="00C24E7F">
      <w:pPr>
        <w:pStyle w:val="BodyText"/>
      </w:pPr>
    </w:p>
    <w:p w14:paraId="190A3086" w14:textId="77777777" w:rsidR="00C24E7F" w:rsidRDefault="00B01AD7" w:rsidP="002439EA">
      <w:pPr>
        <w:spacing w:before="322" w:line="204" w:lineRule="auto"/>
        <w:ind w:left="811" w:right="7088" w:hanging="811"/>
        <w:rPr>
          <w:rFonts w:ascii="Arial Black"/>
          <w:sz w:val="26"/>
        </w:rPr>
      </w:pPr>
      <w:r>
        <w:rPr>
          <w:rFonts w:ascii="Arial Black"/>
          <w:color w:val="004674"/>
          <w:sz w:val="26"/>
        </w:rPr>
        <w:t>Правни</w:t>
      </w:r>
      <w:r>
        <w:rPr>
          <w:rFonts w:ascii="Arial Black"/>
          <w:color w:val="004674"/>
          <w:sz w:val="26"/>
        </w:rPr>
        <w:t xml:space="preserve"> </w:t>
      </w:r>
      <w:r>
        <w:rPr>
          <w:rFonts w:ascii="Arial Black"/>
          <w:color w:val="004674"/>
          <w:sz w:val="26"/>
        </w:rPr>
        <w:t>инструменти</w:t>
      </w:r>
      <w:r>
        <w:rPr>
          <w:rFonts w:ascii="Arial Black"/>
          <w:color w:val="004674"/>
          <w:sz w:val="26"/>
        </w:rPr>
        <w:t xml:space="preserve"> </w:t>
      </w:r>
      <w:r>
        <w:rPr>
          <w:rFonts w:ascii="Arial Black"/>
          <w:color w:val="004674"/>
          <w:sz w:val="26"/>
        </w:rPr>
        <w:t>на</w:t>
      </w:r>
      <w:r>
        <w:rPr>
          <w:rFonts w:ascii="Arial Black"/>
          <w:color w:val="004674"/>
          <w:sz w:val="26"/>
        </w:rPr>
        <w:t xml:space="preserve"> </w:t>
      </w:r>
      <w:r>
        <w:rPr>
          <w:rFonts w:ascii="Arial Black"/>
          <w:color w:val="004674"/>
          <w:sz w:val="26"/>
        </w:rPr>
        <w:t>ОИСР</w:t>
      </w:r>
    </w:p>
    <w:p w14:paraId="190A3087" w14:textId="77777777" w:rsidR="00C24E7F" w:rsidRDefault="00C24E7F">
      <w:pPr>
        <w:pStyle w:val="BodyText"/>
        <w:rPr>
          <w:rFonts w:ascii="Arial Black"/>
        </w:rPr>
      </w:pPr>
    </w:p>
    <w:p w14:paraId="190A3088" w14:textId="77777777" w:rsidR="00C24E7F" w:rsidRDefault="00C24E7F">
      <w:pPr>
        <w:pStyle w:val="BodyText"/>
        <w:rPr>
          <w:rFonts w:ascii="Arial Black"/>
        </w:rPr>
      </w:pPr>
    </w:p>
    <w:p w14:paraId="190A3089" w14:textId="77777777" w:rsidR="00C24E7F" w:rsidRDefault="00C24E7F">
      <w:pPr>
        <w:pStyle w:val="BodyText"/>
        <w:rPr>
          <w:rFonts w:ascii="Arial Black"/>
        </w:rPr>
      </w:pPr>
    </w:p>
    <w:p w14:paraId="190A308A" w14:textId="77777777" w:rsidR="00C24E7F" w:rsidRDefault="00C24E7F">
      <w:pPr>
        <w:pStyle w:val="BodyText"/>
        <w:rPr>
          <w:rFonts w:ascii="Arial Black"/>
        </w:rPr>
      </w:pPr>
    </w:p>
    <w:p w14:paraId="190A308B" w14:textId="77777777" w:rsidR="00C24E7F" w:rsidRDefault="00C24E7F">
      <w:pPr>
        <w:pStyle w:val="BodyText"/>
        <w:rPr>
          <w:rFonts w:ascii="Arial Black"/>
        </w:rPr>
      </w:pPr>
    </w:p>
    <w:p w14:paraId="190A308C" w14:textId="77777777" w:rsidR="00C24E7F" w:rsidRDefault="00C24E7F">
      <w:pPr>
        <w:pStyle w:val="BodyText"/>
        <w:rPr>
          <w:rFonts w:ascii="Arial Black"/>
        </w:rPr>
      </w:pPr>
    </w:p>
    <w:p w14:paraId="190A308D" w14:textId="77777777" w:rsidR="00C24E7F" w:rsidRDefault="00C24E7F">
      <w:pPr>
        <w:pStyle w:val="BodyText"/>
        <w:rPr>
          <w:rFonts w:ascii="Arial Black"/>
        </w:rPr>
      </w:pPr>
    </w:p>
    <w:p w14:paraId="190A308E" w14:textId="77777777" w:rsidR="00C24E7F" w:rsidRDefault="00C24E7F">
      <w:pPr>
        <w:pStyle w:val="BodyText"/>
        <w:rPr>
          <w:rFonts w:ascii="Arial Black"/>
        </w:rPr>
      </w:pPr>
    </w:p>
    <w:p w14:paraId="190A308F" w14:textId="77777777" w:rsidR="00C24E7F" w:rsidRDefault="00C24E7F">
      <w:pPr>
        <w:pStyle w:val="BodyText"/>
        <w:rPr>
          <w:rFonts w:ascii="Arial Black"/>
        </w:rPr>
      </w:pPr>
    </w:p>
    <w:p w14:paraId="190A3090" w14:textId="77777777" w:rsidR="00C24E7F" w:rsidRDefault="00C24E7F">
      <w:pPr>
        <w:pStyle w:val="BodyText"/>
        <w:rPr>
          <w:rFonts w:ascii="Arial Black"/>
        </w:rPr>
      </w:pPr>
    </w:p>
    <w:p w14:paraId="190A3091" w14:textId="77777777" w:rsidR="00C24E7F" w:rsidRDefault="00B01AD7">
      <w:pPr>
        <w:pStyle w:val="BodyText"/>
        <w:spacing w:before="6"/>
        <w:rPr>
          <w:rFonts w:ascii="Arial Black"/>
          <w:sz w:val="19"/>
        </w:rPr>
      </w:pPr>
      <w:r>
        <w:rPr>
          <w:noProof/>
        </w:rPr>
        <w:drawing>
          <wp:anchor distT="0" distB="0" distL="0" distR="0" simplePos="0" relativeHeight="251659264" behindDoc="0" locked="0" layoutInCell="1" allowOverlap="1" wp14:anchorId="190A3129" wp14:editId="190A312A">
            <wp:simplePos x="0" y="0"/>
            <wp:positionH relativeFrom="page">
              <wp:posOffset>5058409</wp:posOffset>
            </wp:positionH>
            <wp:positionV relativeFrom="paragraph">
              <wp:posOffset>199050</wp:posOffset>
            </wp:positionV>
            <wp:extent cx="2165036" cy="666750"/>
            <wp:effectExtent l="0" t="0" r="0" b="0"/>
            <wp:wrapTopAndBottom/>
            <wp:docPr id="1"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png"/>
                    <pic:cNvPicPr/>
                  </pic:nvPicPr>
                  <pic:blipFill>
                    <a:blip r:embed="rId11" cstate="print"/>
                    <a:stretch>
                      <a:fillRect/>
                    </a:stretch>
                  </pic:blipFill>
                  <pic:spPr>
                    <a:xfrm>
                      <a:off x="0" y="0"/>
                      <a:ext cx="2165036" cy="666750"/>
                    </a:xfrm>
                    <a:prstGeom prst="rect">
                      <a:avLst/>
                    </a:prstGeom>
                  </pic:spPr>
                </pic:pic>
              </a:graphicData>
            </a:graphic>
          </wp:anchor>
        </w:drawing>
      </w:r>
    </w:p>
    <w:p w14:paraId="190A3092" w14:textId="77777777" w:rsidR="00C24E7F" w:rsidRDefault="00C24E7F">
      <w:pPr>
        <w:rPr>
          <w:rFonts w:ascii="Arial Black"/>
          <w:sz w:val="19"/>
        </w:rPr>
        <w:sectPr w:rsidR="00C24E7F">
          <w:type w:val="continuous"/>
          <w:pgSz w:w="11920" w:h="16850"/>
          <w:pgMar w:top="720" w:right="420" w:bottom="280" w:left="1680" w:header="720" w:footer="720" w:gutter="0"/>
          <w:cols w:space="720"/>
        </w:sectPr>
      </w:pPr>
    </w:p>
    <w:p w14:paraId="190A3093" w14:textId="77777777" w:rsidR="00C24E7F" w:rsidRDefault="00C24E7F">
      <w:pPr>
        <w:pStyle w:val="BodyText"/>
        <w:rPr>
          <w:rFonts w:ascii="Arial Black"/>
        </w:rPr>
      </w:pPr>
    </w:p>
    <w:p w14:paraId="190A3094" w14:textId="77777777" w:rsidR="00C24E7F" w:rsidRDefault="00C24E7F">
      <w:pPr>
        <w:pStyle w:val="BodyText"/>
        <w:rPr>
          <w:rFonts w:ascii="Arial Black"/>
        </w:rPr>
      </w:pPr>
    </w:p>
    <w:p w14:paraId="190A3095" w14:textId="77777777" w:rsidR="00C24E7F" w:rsidRDefault="00C24E7F">
      <w:pPr>
        <w:pStyle w:val="BodyText"/>
        <w:rPr>
          <w:rFonts w:ascii="Arial Black"/>
        </w:rPr>
      </w:pPr>
    </w:p>
    <w:p w14:paraId="190A3096" w14:textId="77777777" w:rsidR="00C24E7F" w:rsidRDefault="00C24E7F">
      <w:pPr>
        <w:pStyle w:val="BodyText"/>
        <w:rPr>
          <w:rFonts w:ascii="Arial Black"/>
        </w:rPr>
      </w:pPr>
    </w:p>
    <w:p w14:paraId="190A3097" w14:textId="77777777" w:rsidR="00C24E7F" w:rsidRDefault="00C24E7F">
      <w:pPr>
        <w:pStyle w:val="BodyText"/>
        <w:rPr>
          <w:rFonts w:ascii="Arial Black"/>
        </w:rPr>
      </w:pPr>
    </w:p>
    <w:p w14:paraId="190A3098" w14:textId="77777777" w:rsidR="00C24E7F" w:rsidRDefault="00C24E7F">
      <w:pPr>
        <w:pStyle w:val="BodyText"/>
        <w:spacing w:before="1"/>
        <w:rPr>
          <w:rFonts w:ascii="Arial Black"/>
          <w:sz w:val="22"/>
        </w:rPr>
      </w:pPr>
    </w:p>
    <w:p w14:paraId="190A3099" w14:textId="77777777" w:rsidR="00C24E7F" w:rsidRDefault="00B01AD7">
      <w:pPr>
        <w:spacing w:before="94" w:line="242" w:lineRule="auto"/>
        <w:ind w:left="797" w:right="817"/>
        <w:jc w:val="both"/>
        <w:rPr>
          <w:sz w:val="18"/>
        </w:rPr>
      </w:pPr>
      <w:r>
        <w:rPr>
          <w:sz w:val="18"/>
        </w:rPr>
        <w:t>Този документ е публикуван под отговорността на генералния секретар на ОИСР. Той пресъздава правен инструмент на ОИСР и може да съдържа допълнителен материал. Изразените мнения и аргументите, използвани в допълнителния материал, не отразяват непременно офи</w:t>
      </w:r>
      <w:r>
        <w:rPr>
          <w:sz w:val="18"/>
        </w:rPr>
        <w:t>циалните възгледи на страните-членки на ОИСР.</w:t>
      </w:r>
    </w:p>
    <w:p w14:paraId="190A309A" w14:textId="77777777" w:rsidR="00C24E7F" w:rsidRDefault="00C24E7F">
      <w:pPr>
        <w:pStyle w:val="BodyText"/>
        <w:spacing w:before="10"/>
        <w:rPr>
          <w:sz w:val="15"/>
        </w:rPr>
      </w:pPr>
    </w:p>
    <w:p w14:paraId="190A309B" w14:textId="77777777" w:rsidR="00C24E7F" w:rsidRDefault="00B01AD7">
      <w:pPr>
        <w:spacing w:line="242" w:lineRule="auto"/>
        <w:ind w:left="797" w:right="815"/>
        <w:jc w:val="both"/>
        <w:rPr>
          <w:sz w:val="18"/>
        </w:rPr>
      </w:pPr>
      <w:r>
        <w:rPr>
          <w:sz w:val="18"/>
        </w:rPr>
        <w:t>Този документ, както и всички данни и всяка карта, включени тук, не засягат статута или суверенитета върху която и да е територия, разграничаването на международни граници и наименованието на която и да е тери</w:t>
      </w:r>
      <w:r>
        <w:rPr>
          <w:sz w:val="18"/>
        </w:rPr>
        <w:t>тория, град или област.</w:t>
      </w:r>
    </w:p>
    <w:p w14:paraId="190A309C" w14:textId="77777777" w:rsidR="00C24E7F" w:rsidRDefault="00C24E7F">
      <w:pPr>
        <w:pStyle w:val="BodyText"/>
      </w:pPr>
    </w:p>
    <w:p w14:paraId="190A309D" w14:textId="77777777" w:rsidR="00C24E7F" w:rsidRDefault="00C24E7F">
      <w:pPr>
        <w:pStyle w:val="BodyText"/>
      </w:pPr>
    </w:p>
    <w:p w14:paraId="190A309E" w14:textId="77777777" w:rsidR="00C24E7F" w:rsidRDefault="00C24E7F">
      <w:pPr>
        <w:pStyle w:val="BodyText"/>
      </w:pPr>
    </w:p>
    <w:p w14:paraId="190A309F" w14:textId="77777777" w:rsidR="00C24E7F" w:rsidRDefault="00C24E7F">
      <w:pPr>
        <w:pStyle w:val="BodyText"/>
      </w:pPr>
    </w:p>
    <w:p w14:paraId="190A30A0" w14:textId="77777777" w:rsidR="00C24E7F" w:rsidRDefault="00C24E7F">
      <w:pPr>
        <w:pStyle w:val="BodyText"/>
      </w:pPr>
    </w:p>
    <w:p w14:paraId="190A30A1" w14:textId="77777777" w:rsidR="00C24E7F" w:rsidRDefault="00C24E7F">
      <w:pPr>
        <w:pStyle w:val="BodyText"/>
      </w:pPr>
    </w:p>
    <w:p w14:paraId="190A30A2" w14:textId="77777777" w:rsidR="00C24E7F" w:rsidRDefault="00C24E7F">
      <w:pPr>
        <w:pStyle w:val="BodyText"/>
      </w:pPr>
    </w:p>
    <w:p w14:paraId="190A30A3" w14:textId="77777777" w:rsidR="00C24E7F" w:rsidRDefault="00C24E7F">
      <w:pPr>
        <w:pStyle w:val="BodyText"/>
      </w:pPr>
    </w:p>
    <w:p w14:paraId="190A30A4" w14:textId="77777777" w:rsidR="00C24E7F" w:rsidRDefault="00C24E7F">
      <w:pPr>
        <w:pStyle w:val="BodyText"/>
      </w:pPr>
    </w:p>
    <w:p w14:paraId="190A30A5" w14:textId="77777777" w:rsidR="00C24E7F" w:rsidRDefault="00C24E7F">
      <w:pPr>
        <w:pStyle w:val="BodyText"/>
      </w:pPr>
    </w:p>
    <w:p w14:paraId="190A30A6" w14:textId="77777777" w:rsidR="00C24E7F" w:rsidRDefault="00C24E7F">
      <w:pPr>
        <w:pStyle w:val="BodyText"/>
      </w:pPr>
    </w:p>
    <w:p w14:paraId="190A30A7" w14:textId="77777777" w:rsidR="00C24E7F" w:rsidRDefault="00C24E7F">
      <w:pPr>
        <w:pStyle w:val="BodyText"/>
      </w:pPr>
    </w:p>
    <w:p w14:paraId="190A30A8" w14:textId="77777777" w:rsidR="00C24E7F" w:rsidRDefault="00C24E7F">
      <w:pPr>
        <w:pStyle w:val="BodyText"/>
      </w:pPr>
    </w:p>
    <w:p w14:paraId="190A30A9" w14:textId="77777777" w:rsidR="00C24E7F" w:rsidRDefault="00C24E7F">
      <w:pPr>
        <w:pStyle w:val="BodyText"/>
      </w:pPr>
    </w:p>
    <w:p w14:paraId="190A30AA" w14:textId="77777777" w:rsidR="00C24E7F" w:rsidRDefault="00C24E7F">
      <w:pPr>
        <w:pStyle w:val="BodyText"/>
      </w:pPr>
    </w:p>
    <w:p w14:paraId="190A30AB" w14:textId="77777777" w:rsidR="00C24E7F" w:rsidRDefault="00C24E7F">
      <w:pPr>
        <w:pStyle w:val="BodyText"/>
      </w:pPr>
    </w:p>
    <w:p w14:paraId="190A30AC" w14:textId="77777777" w:rsidR="00C24E7F" w:rsidRDefault="00C24E7F">
      <w:pPr>
        <w:pStyle w:val="BodyText"/>
      </w:pPr>
    </w:p>
    <w:p w14:paraId="190A30AD" w14:textId="77777777" w:rsidR="00C24E7F" w:rsidRDefault="00C24E7F">
      <w:pPr>
        <w:pStyle w:val="BodyText"/>
      </w:pPr>
    </w:p>
    <w:p w14:paraId="190A30AE" w14:textId="77777777" w:rsidR="00C24E7F" w:rsidRDefault="00C24E7F">
      <w:pPr>
        <w:pStyle w:val="BodyText"/>
      </w:pPr>
    </w:p>
    <w:p w14:paraId="190A30AF" w14:textId="77777777" w:rsidR="00C24E7F" w:rsidRDefault="00C24E7F">
      <w:pPr>
        <w:pStyle w:val="BodyText"/>
      </w:pPr>
    </w:p>
    <w:p w14:paraId="190A30B0" w14:textId="77777777" w:rsidR="00C24E7F" w:rsidRDefault="00C24E7F">
      <w:pPr>
        <w:pStyle w:val="BodyText"/>
      </w:pPr>
    </w:p>
    <w:p w14:paraId="190A30B1" w14:textId="77777777" w:rsidR="00C24E7F" w:rsidRDefault="00C24E7F">
      <w:pPr>
        <w:pStyle w:val="BodyText"/>
      </w:pPr>
    </w:p>
    <w:p w14:paraId="190A30B2" w14:textId="77777777" w:rsidR="00C24E7F" w:rsidRDefault="00C24E7F">
      <w:pPr>
        <w:pStyle w:val="BodyText"/>
      </w:pPr>
    </w:p>
    <w:p w14:paraId="190A30B3" w14:textId="77777777" w:rsidR="00C24E7F" w:rsidRDefault="00C24E7F">
      <w:pPr>
        <w:pStyle w:val="BodyText"/>
      </w:pPr>
    </w:p>
    <w:p w14:paraId="190A30B4" w14:textId="77777777" w:rsidR="00C24E7F" w:rsidRDefault="00C24E7F">
      <w:pPr>
        <w:pStyle w:val="BodyText"/>
      </w:pPr>
    </w:p>
    <w:p w14:paraId="190A30B5" w14:textId="77777777" w:rsidR="00C24E7F" w:rsidRDefault="00C24E7F">
      <w:pPr>
        <w:pStyle w:val="BodyText"/>
        <w:spacing w:before="1"/>
        <w:rPr>
          <w:sz w:val="19"/>
        </w:rPr>
      </w:pPr>
    </w:p>
    <w:p w14:paraId="190A30B6" w14:textId="77777777" w:rsidR="00C24E7F" w:rsidRDefault="00B01AD7">
      <w:pPr>
        <w:spacing w:before="94" w:line="242" w:lineRule="auto"/>
        <w:ind w:left="797" w:right="359"/>
        <w:rPr>
          <w:sz w:val="18"/>
        </w:rPr>
      </w:pPr>
      <w:r>
        <w:rPr>
          <w:sz w:val="18"/>
        </w:rPr>
        <w:t>За достъп до официалните и актуални текстове на правните инструменти на ОИСР, както и друга свързана информация, моля, направете справка със Сборника на правните инструменти на ОИСР на</w:t>
      </w:r>
      <w:r>
        <w:t xml:space="preserve"> </w:t>
      </w:r>
      <w:hyperlink r:id="rId12">
        <w:r>
          <w:rPr>
            <w:color w:val="0000ED"/>
            <w:sz w:val="18"/>
            <w:u w:val="single" w:color="0000ED"/>
          </w:rPr>
          <w:t>http://legalinstru</w:t>
        </w:r>
        <w:r>
          <w:rPr>
            <w:color w:val="0000ED"/>
            <w:sz w:val="18"/>
            <w:u w:val="single" w:color="0000ED"/>
          </w:rPr>
          <w:t>ments.oecd.org</w:t>
        </w:r>
      </w:hyperlink>
      <w:r>
        <w:t xml:space="preserve"> </w:t>
      </w:r>
      <w:r>
        <w:rPr>
          <w:sz w:val="18"/>
        </w:rPr>
        <w:t>.</w:t>
      </w:r>
    </w:p>
    <w:p w14:paraId="190A30B7" w14:textId="77777777" w:rsidR="00C24E7F" w:rsidRDefault="00B01AD7">
      <w:pPr>
        <w:pStyle w:val="BodyText"/>
        <w:spacing w:before="1"/>
        <w:rPr>
          <w:sz w:val="14"/>
        </w:rPr>
      </w:pPr>
      <w:r>
        <w:pict w14:anchorId="190A312C">
          <v:shapetype id="_x0000_t202" coordsize="21600,21600" o:spt="202" path="m,l,21600r21600,l21600,xe">
            <v:stroke joinstyle="miter"/>
            <v:path gradientshapeok="t" o:connecttype="rect"/>
          </v:shapetype>
          <v:shape id="_x0000_s1034" type="#_x0000_t202" style="position:absolute;margin-left:76.85pt;margin-top:9.3pt;width:441.5pt;height:32pt;z-index:-15727616;mso-wrap-distance-left:0;mso-wrap-distance-right:0;mso-position-horizontal-relative:page" fillcolor="#dcd8c2" stroked="f">
            <v:textbox inset="0,0,0,0">
              <w:txbxContent>
                <w:p w14:paraId="190A3135" w14:textId="77777777" w:rsidR="00C24E7F" w:rsidRDefault="00B01AD7">
                  <w:pPr>
                    <w:spacing w:before="1"/>
                    <w:rPr>
                      <w:b/>
                      <w:sz w:val="18"/>
                    </w:rPr>
                  </w:pPr>
                  <w:r>
                    <w:rPr>
                      <w:b/>
                      <w:sz w:val="18"/>
                    </w:rPr>
                    <w:t>Моля, цитирайте този документ като:</w:t>
                  </w:r>
                </w:p>
                <w:p w14:paraId="190A3136" w14:textId="77777777" w:rsidR="00C24E7F" w:rsidRDefault="00B01AD7">
                  <w:pPr>
                    <w:spacing w:before="8" w:line="242" w:lineRule="auto"/>
                    <w:rPr>
                      <w:sz w:val="18"/>
                    </w:rPr>
                  </w:pPr>
                  <w:r>
                    <w:rPr>
                      <w:sz w:val="18"/>
                    </w:rPr>
                    <w:t xml:space="preserve">ОИСР, </w:t>
                  </w:r>
                  <w:r>
                    <w:rPr>
                      <w:i/>
                      <w:iCs/>
                      <w:sz w:val="18"/>
                    </w:rPr>
                    <w:t>Препоръка на Съвета за подобряване на изпълнението на политиката по околна среда при обществените поръчки</w:t>
                  </w:r>
                  <w:r>
                    <w:rPr>
                      <w:sz w:val="18"/>
                    </w:rPr>
                    <w:t>, OECD/LEGAL/0311</w:t>
                  </w:r>
                </w:p>
              </w:txbxContent>
            </v:textbox>
            <w10:wrap type="topAndBottom" anchorx="page"/>
          </v:shape>
        </w:pict>
      </w:r>
    </w:p>
    <w:p w14:paraId="190A30B8" w14:textId="77777777" w:rsidR="00C24E7F" w:rsidRDefault="00C24E7F">
      <w:pPr>
        <w:pStyle w:val="BodyText"/>
        <w:rPr>
          <w:sz w:val="15"/>
        </w:rPr>
      </w:pPr>
    </w:p>
    <w:p w14:paraId="190A30B9" w14:textId="77777777" w:rsidR="00C24E7F" w:rsidRDefault="00B01AD7">
      <w:pPr>
        <w:spacing w:before="96"/>
        <w:ind w:left="797"/>
        <w:jc w:val="both"/>
        <w:rPr>
          <w:sz w:val="14"/>
        </w:rPr>
      </w:pPr>
      <w:r>
        <w:rPr>
          <w:sz w:val="14"/>
        </w:rPr>
        <w:t>Серия: Правни инструменти на ОИСР</w:t>
      </w:r>
    </w:p>
    <w:p w14:paraId="190A30BA" w14:textId="77777777" w:rsidR="00C24E7F" w:rsidRDefault="00C24E7F">
      <w:pPr>
        <w:pStyle w:val="BodyText"/>
        <w:rPr>
          <w:sz w:val="16"/>
        </w:rPr>
      </w:pPr>
    </w:p>
    <w:p w14:paraId="190A30BB" w14:textId="77777777" w:rsidR="00C24E7F" w:rsidRDefault="00C24E7F">
      <w:pPr>
        <w:pStyle w:val="BodyText"/>
        <w:rPr>
          <w:sz w:val="16"/>
        </w:rPr>
      </w:pPr>
    </w:p>
    <w:p w14:paraId="190A30BC" w14:textId="77777777" w:rsidR="00C24E7F" w:rsidRDefault="00C24E7F">
      <w:pPr>
        <w:pStyle w:val="BodyText"/>
        <w:spacing w:before="8"/>
        <w:rPr>
          <w:sz w:val="17"/>
        </w:rPr>
      </w:pPr>
    </w:p>
    <w:p w14:paraId="190A30BD" w14:textId="77777777" w:rsidR="00C24E7F" w:rsidRDefault="00B01AD7">
      <w:pPr>
        <w:ind w:left="797"/>
        <w:jc w:val="both"/>
        <w:rPr>
          <w:sz w:val="18"/>
        </w:rPr>
      </w:pPr>
      <w:r>
        <w:rPr>
          <w:b/>
          <w:sz w:val="18"/>
        </w:rPr>
        <w:t xml:space="preserve">Фотографии: </w:t>
      </w:r>
      <w:r>
        <w:rPr>
          <w:sz w:val="18"/>
        </w:rPr>
        <w:t>© optimarc / Shutterstock.com</w:t>
      </w:r>
    </w:p>
    <w:p w14:paraId="190A30BE" w14:textId="77777777" w:rsidR="00C24E7F" w:rsidRDefault="00C24E7F">
      <w:pPr>
        <w:pStyle w:val="BodyText"/>
        <w:spacing w:before="4"/>
        <w:rPr>
          <w:sz w:val="16"/>
        </w:rPr>
      </w:pPr>
    </w:p>
    <w:p w14:paraId="190A30BF" w14:textId="77777777" w:rsidR="00C24E7F" w:rsidRDefault="00B01AD7">
      <w:pPr>
        <w:ind w:left="797"/>
        <w:jc w:val="both"/>
        <w:rPr>
          <w:sz w:val="18"/>
        </w:rPr>
      </w:pPr>
      <w:r>
        <w:rPr>
          <w:sz w:val="18"/>
        </w:rPr>
        <w:t>© ОИСР 2021</w:t>
      </w:r>
    </w:p>
    <w:p w14:paraId="190A30C0" w14:textId="77777777" w:rsidR="00C24E7F" w:rsidRDefault="00B01AD7">
      <w:pPr>
        <w:pStyle w:val="BodyText"/>
        <w:rPr>
          <w:sz w:val="22"/>
        </w:rPr>
      </w:pPr>
      <w:r>
        <w:pict w14:anchorId="190A312D">
          <v:rect id="_x0000_s1033" style="position:absolute;margin-left:76.85pt;margin-top:14.6pt;width:441.5pt;height:.5pt;z-index:-15727104;mso-wrap-distance-left:0;mso-wrap-distance-right:0;mso-position-horizontal-relative:page" fillcolor="black" stroked="f">
            <w10:wrap type="topAndBottom" anchorx="page"/>
          </v:rect>
        </w:pict>
      </w:r>
    </w:p>
    <w:p w14:paraId="190A30C1" w14:textId="77777777" w:rsidR="00C24E7F" w:rsidRDefault="00B01AD7">
      <w:pPr>
        <w:spacing w:before="83" w:line="242" w:lineRule="auto"/>
        <w:ind w:left="797" w:right="821"/>
        <w:jc w:val="both"/>
        <w:rPr>
          <w:sz w:val="12"/>
        </w:rPr>
      </w:pPr>
      <w:r>
        <w:rPr>
          <w:sz w:val="12"/>
        </w:rPr>
        <w:t>Този документ се предоставя безплатно. Може да се възпроизвежда и разпространява безплатно, без да се изискват допълнителни разрешения, стига да не се променя по никакъв начин. Не може да се продава.</w:t>
      </w:r>
    </w:p>
    <w:p w14:paraId="190A30C2" w14:textId="77777777" w:rsidR="00C24E7F" w:rsidRDefault="00C24E7F">
      <w:pPr>
        <w:pStyle w:val="BodyText"/>
        <w:spacing w:before="6"/>
        <w:rPr>
          <w:sz w:val="10"/>
        </w:rPr>
      </w:pPr>
    </w:p>
    <w:p w14:paraId="190A30C3" w14:textId="77777777" w:rsidR="00C24E7F" w:rsidRDefault="00B01AD7">
      <w:pPr>
        <w:spacing w:line="252" w:lineRule="auto"/>
        <w:ind w:left="797" w:right="817"/>
        <w:jc w:val="both"/>
        <w:rPr>
          <w:i/>
          <w:sz w:val="12"/>
        </w:rPr>
      </w:pPr>
      <w:r>
        <w:pict w14:anchorId="190A312E">
          <v:rect id="_x0000_s1032" style="position:absolute;left:0;text-align:left;margin-left:76.85pt;margin-top:35.15pt;width:441.5pt;height:.5pt;z-index:-15726592;mso-wrap-distance-left:0;mso-wrap-distance-right:0;mso-position-horizontal-relative:page" fillcolor="black" stroked="f">
            <w10:wrap type="topAndBottom" anchorx="page"/>
          </v:rect>
        </w:pict>
      </w:r>
      <w:r>
        <w:rPr>
          <w:sz w:val="12"/>
        </w:rPr>
        <w:t>Този доку</w:t>
      </w:r>
      <w:r>
        <w:rPr>
          <w:sz w:val="12"/>
        </w:rPr>
        <w:t xml:space="preserve">мент е достъпен на двата официални езика на ОИСР (английски и френски). Може да бъде преведен на други езици, стига преводът да е обозначен като „неофициален превод“ и да включва следната декларация за отказ от отговорност: </w:t>
      </w:r>
      <w:r>
        <w:rPr>
          <w:i/>
          <w:sz w:val="12"/>
        </w:rPr>
        <w:t xml:space="preserve">„Този превод е изготвен от [ИМЕ </w:t>
      </w:r>
      <w:r>
        <w:rPr>
          <w:i/>
          <w:sz w:val="12"/>
        </w:rPr>
        <w:t>НА АВТОРА НА ПРЕВОДА] само с информационна цел и неговата точност не може да бъде гарантирана от ОИСР. Единствените официални версии са английските и френските текстове, достъпни на уебсайта на ОИСР</w:t>
      </w:r>
      <w:r>
        <w:t xml:space="preserve"> </w:t>
      </w:r>
      <w:hyperlink r:id="rId13">
        <w:r>
          <w:rPr>
            <w:i/>
            <w:color w:val="0000ED"/>
            <w:sz w:val="12"/>
            <w:u w:val="single" w:color="0000ED"/>
          </w:rPr>
          <w:t>http</w:t>
        </w:r>
        <w:r>
          <w:rPr>
            <w:i/>
            <w:color w:val="0000ED"/>
            <w:sz w:val="12"/>
            <w:u w:val="single" w:color="0000ED"/>
          </w:rPr>
          <w:t>://legalinstruments.oecd.org</w:t>
        </w:r>
      </w:hyperlink>
      <w:r>
        <w:t xml:space="preserve"> </w:t>
      </w:r>
      <w:r>
        <w:rPr>
          <w:i/>
          <w:sz w:val="12"/>
        </w:rPr>
        <w:t>"</w:t>
      </w:r>
    </w:p>
    <w:p w14:paraId="190A30C4" w14:textId="77777777" w:rsidR="00C24E7F" w:rsidRDefault="00C24E7F">
      <w:pPr>
        <w:spacing w:line="252" w:lineRule="auto"/>
        <w:jc w:val="both"/>
        <w:rPr>
          <w:sz w:val="12"/>
        </w:rPr>
        <w:sectPr w:rsidR="00C24E7F">
          <w:pgSz w:w="11910" w:h="16840"/>
          <w:pgMar w:top="1580" w:right="719" w:bottom="280" w:left="740" w:header="720" w:footer="720" w:gutter="0"/>
          <w:cols w:space="720"/>
        </w:sectPr>
      </w:pPr>
    </w:p>
    <w:p w14:paraId="190A30C5" w14:textId="65EAEA10" w:rsidR="00C24E7F" w:rsidRPr="002439EA" w:rsidRDefault="002439EA">
      <w:pPr>
        <w:pStyle w:val="BodyText"/>
        <w:tabs>
          <w:tab w:val="left" w:pos="2273"/>
        </w:tabs>
        <w:spacing w:before="70"/>
        <w:ind w:right="102"/>
        <w:jc w:val="right"/>
        <w:rPr>
          <w:lang/>
        </w:rPr>
      </w:pPr>
      <w:r>
        <w:rPr>
          <w:lang/>
        </w:rPr>
        <w:lastRenderedPageBreak/>
        <w:t>OECD/LEGAL/</w:t>
      </w:r>
      <w:r w:rsidR="00B01AD7">
        <w:rPr>
          <w:lang/>
        </w:rPr>
        <w:t>0311</w:t>
      </w:r>
    </w:p>
    <w:p w14:paraId="190A30C6" w14:textId="77777777" w:rsidR="00C24E7F" w:rsidRDefault="00B01AD7">
      <w:pPr>
        <w:pStyle w:val="BodyText"/>
        <w:spacing w:line="20" w:lineRule="exact"/>
        <w:ind w:left="103"/>
        <w:rPr>
          <w:sz w:val="2"/>
        </w:rPr>
      </w:pPr>
      <w:r>
        <w:rPr>
          <w:sz w:val="2"/>
        </w:rPr>
      </w:r>
      <w:r>
        <w:rPr>
          <w:sz w:val="2"/>
        </w:rPr>
        <w:pict w14:anchorId="190A3130">
          <v:group id="_x0000_s1030" style="width:396.1pt;height:.65pt;mso-position-horizontal-relative:char;mso-position-vertical-relative:line" coordsize="7922,13">
            <v:line id="_x0000_s1031" style="position:absolute" from="0,6" to="7921,6" strokecolor="#2a2928" strokeweight=".63pt"/>
            <w10:anchorlock/>
          </v:group>
        </w:pict>
      </w:r>
    </w:p>
    <w:p w14:paraId="190A30C7" w14:textId="77777777" w:rsidR="00C24E7F" w:rsidRDefault="00C24E7F">
      <w:pPr>
        <w:pStyle w:val="BodyText"/>
        <w:spacing w:before="9"/>
        <w:rPr>
          <w:sz w:val="15"/>
        </w:rPr>
      </w:pPr>
    </w:p>
    <w:p w14:paraId="190A30C8" w14:textId="77777777" w:rsidR="00C24E7F" w:rsidRDefault="00B01AD7">
      <w:pPr>
        <w:pStyle w:val="Heading2"/>
        <w:spacing w:before="93"/>
        <w:ind w:left="797"/>
      </w:pPr>
      <w:r>
        <w:rPr>
          <w:color w:val="1E487C"/>
        </w:rPr>
        <w:t>Обща информация</w:t>
      </w:r>
    </w:p>
    <w:p w14:paraId="190A30C9" w14:textId="77777777" w:rsidR="00C24E7F" w:rsidRDefault="00C24E7F">
      <w:pPr>
        <w:pStyle w:val="BodyText"/>
        <w:rPr>
          <w:b/>
          <w:sz w:val="26"/>
        </w:rPr>
      </w:pPr>
    </w:p>
    <w:p w14:paraId="190A30CA" w14:textId="77777777" w:rsidR="00C24E7F" w:rsidRDefault="00C24E7F">
      <w:pPr>
        <w:pStyle w:val="BodyText"/>
        <w:spacing w:before="3"/>
        <w:rPr>
          <w:b/>
          <w:sz w:val="23"/>
        </w:rPr>
      </w:pPr>
    </w:p>
    <w:p w14:paraId="190A30CB" w14:textId="77777777" w:rsidR="00C24E7F" w:rsidRDefault="00B01AD7">
      <w:pPr>
        <w:pStyle w:val="BodyText"/>
        <w:ind w:left="797" w:right="815"/>
        <w:jc w:val="both"/>
      </w:pPr>
      <w:r>
        <w:t>Препоръката за подобряване на изпълнението на политиката по околна среда при обществените поръчки беше приета от Съвета на ОИСР на 23 януари 2002 г. по предложение на Комитета по екологична политика. К</w:t>
      </w:r>
      <w:r>
        <w:t>ато принос към прилагането на Стратегията за околната среда на ОИСР за първото десетилетие на 21-ви век, която беше одобрена от Съвета на ОИСР на министерско ниво през май 2001 г., препоръката има за цел да предостави насоки за присъединилите се страни, ко</w:t>
      </w:r>
      <w:r>
        <w:t>ито се стремят да подобрят екологичните характеристики на обществените поръчки. По-специално тя препоръчва на присъединилите се страни да обърнат по-голямо внимание на екологичните съображения при обществените поръчки за продукти и услуги, като разработват</w:t>
      </w:r>
      <w:r>
        <w:t xml:space="preserve"> по-екологични политики за обществени поръчки.</w:t>
      </w:r>
    </w:p>
    <w:p w14:paraId="190A30CC" w14:textId="77777777" w:rsidR="00C24E7F" w:rsidRDefault="00C24E7F">
      <w:pPr>
        <w:jc w:val="both"/>
        <w:sectPr w:rsidR="00C24E7F">
          <w:pgSz w:w="11910" w:h="16840"/>
          <w:pgMar w:top="760" w:right="719" w:bottom="280" w:left="740" w:header="720" w:footer="720" w:gutter="0"/>
          <w:cols w:space="720"/>
        </w:sectPr>
      </w:pPr>
    </w:p>
    <w:p w14:paraId="190A30CD" w14:textId="3EB2676B" w:rsidR="00C24E7F" w:rsidRPr="00B01AD7" w:rsidRDefault="00B01AD7">
      <w:pPr>
        <w:pStyle w:val="BodyText"/>
        <w:tabs>
          <w:tab w:val="left" w:pos="677"/>
        </w:tabs>
        <w:spacing w:before="69"/>
        <w:ind w:left="110"/>
        <w:rPr>
          <w:lang/>
        </w:rPr>
      </w:pPr>
      <w:r>
        <w:rPr>
          <w:b/>
          <w:color w:val="2B2A29"/>
          <w:u w:val="single" w:color="2A2928"/>
          <w:lang/>
        </w:rPr>
        <w:lastRenderedPageBreak/>
        <w:t>OECD/LEGAL/0311</w:t>
      </w:r>
    </w:p>
    <w:p w14:paraId="190A30CE" w14:textId="77777777" w:rsidR="00C24E7F" w:rsidRDefault="00B01AD7">
      <w:pPr>
        <w:pStyle w:val="BodyText"/>
        <w:spacing w:line="20" w:lineRule="exact"/>
        <w:ind w:left="2413"/>
        <w:rPr>
          <w:sz w:val="2"/>
        </w:rPr>
      </w:pPr>
      <w:r>
        <w:rPr>
          <w:sz w:val="2"/>
        </w:rPr>
      </w:r>
      <w:r>
        <w:rPr>
          <w:sz w:val="2"/>
        </w:rPr>
        <w:pict w14:anchorId="190A3132">
          <v:group id="_x0000_s1028" style="width:396.1pt;height:.65pt;mso-position-horizontal-relative:char;mso-position-vertical-relative:line" coordsize="7922,13">
            <v:line id="_x0000_s1029" style="position:absolute" from="0,6" to="7921,6" strokecolor="#2a2928" strokeweight=".63pt"/>
            <w10:anchorlock/>
          </v:group>
        </w:pict>
      </w:r>
    </w:p>
    <w:p w14:paraId="190A30CF" w14:textId="77777777" w:rsidR="00C24E7F" w:rsidRDefault="00C24E7F">
      <w:pPr>
        <w:pStyle w:val="BodyText"/>
        <w:rPr>
          <w:sz w:val="15"/>
        </w:rPr>
      </w:pPr>
    </w:p>
    <w:p w14:paraId="190A30D0" w14:textId="77777777" w:rsidR="00C24E7F" w:rsidRDefault="00B01AD7">
      <w:pPr>
        <w:pStyle w:val="Heading3"/>
        <w:spacing w:before="93"/>
      </w:pPr>
      <w:r>
        <w:t>СЪВЕТЪТ,</w:t>
      </w:r>
    </w:p>
    <w:p w14:paraId="190A30D1" w14:textId="77777777" w:rsidR="00C24E7F" w:rsidRPr="00B01AD7" w:rsidRDefault="00C24E7F">
      <w:pPr>
        <w:pStyle w:val="BodyText"/>
        <w:spacing w:before="11"/>
        <w:rPr>
          <w:b/>
          <w:sz w:val="6"/>
          <w:szCs w:val="6"/>
        </w:rPr>
      </w:pPr>
    </w:p>
    <w:p w14:paraId="190A30D2" w14:textId="77777777" w:rsidR="00C24E7F" w:rsidRDefault="00B01AD7">
      <w:pPr>
        <w:pStyle w:val="BodyText"/>
        <w:spacing w:line="242" w:lineRule="auto"/>
        <w:ind w:left="676" w:right="694"/>
        <w:jc w:val="both"/>
      </w:pPr>
      <w:r>
        <w:rPr>
          <w:b/>
        </w:rPr>
        <w:t>КАТО ВЗЕ ПРЕДВИД</w:t>
      </w:r>
      <w:r>
        <w:t xml:space="preserve"> член 5б) от Конвенцията за Организацията за икономическо сътрудничество и развитие от 14 декември 1960 г.;</w:t>
      </w:r>
    </w:p>
    <w:p w14:paraId="190A30D3" w14:textId="77777777" w:rsidR="00C24E7F" w:rsidRPr="00B01AD7" w:rsidRDefault="00C24E7F">
      <w:pPr>
        <w:pStyle w:val="BodyText"/>
        <w:spacing w:before="6"/>
        <w:rPr>
          <w:sz w:val="16"/>
          <w:szCs w:val="16"/>
        </w:rPr>
      </w:pPr>
    </w:p>
    <w:p w14:paraId="190A30D4" w14:textId="77777777" w:rsidR="00C24E7F" w:rsidRDefault="00B01AD7">
      <w:pPr>
        <w:pStyle w:val="BodyText"/>
        <w:spacing w:line="242" w:lineRule="auto"/>
        <w:ind w:left="676" w:right="703"/>
        <w:jc w:val="both"/>
      </w:pPr>
      <w:r>
        <w:rPr>
          <w:b/>
        </w:rPr>
        <w:t>КАТО ВЗЕ ПРЕДВИД</w:t>
      </w:r>
      <w:r>
        <w:t xml:space="preserve"> Препоръката на Съвета за подобряване на екологичните показатели на </w:t>
      </w:r>
      <w:r>
        <w:t>правителството [C(96)39/FINAL];</w:t>
      </w:r>
    </w:p>
    <w:p w14:paraId="190A30D5" w14:textId="77777777" w:rsidR="00C24E7F" w:rsidRPr="00B01AD7" w:rsidRDefault="00C24E7F">
      <w:pPr>
        <w:pStyle w:val="BodyText"/>
        <w:spacing w:before="4"/>
        <w:rPr>
          <w:sz w:val="16"/>
          <w:szCs w:val="16"/>
        </w:rPr>
      </w:pPr>
    </w:p>
    <w:p w14:paraId="190A30D6" w14:textId="77777777" w:rsidR="00C24E7F" w:rsidRDefault="00B01AD7">
      <w:pPr>
        <w:pStyle w:val="BodyText"/>
        <w:spacing w:line="242" w:lineRule="auto"/>
        <w:ind w:left="676" w:right="702"/>
        <w:jc w:val="both"/>
      </w:pPr>
      <w:r>
        <w:rPr>
          <w:b/>
        </w:rPr>
        <w:t>КАТО ВЗЕ ПРЕДВИД</w:t>
      </w:r>
      <w:r>
        <w:t xml:space="preserve"> Резолюцията на Съвета за подобряване на екологичните показатели на Организацията за икономическо сътрудничество и развитие [C(96)40/FINAL];</w:t>
      </w:r>
    </w:p>
    <w:p w14:paraId="190A30D7" w14:textId="77777777" w:rsidR="00C24E7F" w:rsidRPr="00B01AD7" w:rsidRDefault="00C24E7F">
      <w:pPr>
        <w:pStyle w:val="BodyText"/>
        <w:spacing w:before="6"/>
        <w:rPr>
          <w:sz w:val="16"/>
          <w:szCs w:val="16"/>
        </w:rPr>
      </w:pPr>
    </w:p>
    <w:p w14:paraId="190A30D8" w14:textId="77777777" w:rsidR="00C24E7F" w:rsidRDefault="00B01AD7">
      <w:pPr>
        <w:spacing w:line="242" w:lineRule="auto"/>
        <w:ind w:left="676" w:right="695"/>
        <w:jc w:val="both"/>
        <w:rPr>
          <w:sz w:val="20"/>
        </w:rPr>
      </w:pPr>
      <w:r>
        <w:rPr>
          <w:b/>
          <w:sz w:val="20"/>
        </w:rPr>
        <w:t>КАТО ВЗЕ ПРЕДВИД</w:t>
      </w:r>
      <w:r>
        <w:rPr>
          <w:sz w:val="20"/>
        </w:rPr>
        <w:t xml:space="preserve"> подкрепата за използването на екологични практики за обществени поръчки, изразени в </w:t>
      </w:r>
      <w:r>
        <w:rPr>
          <w:i/>
          <w:sz w:val="20"/>
        </w:rPr>
        <w:t>Стратегиите на ОИСР за околната среда за първото десетилетие на 21-ви век</w:t>
      </w:r>
      <w:r>
        <w:rPr>
          <w:sz w:val="20"/>
        </w:rPr>
        <w:t>, които бяха приети от министрите на околната среда на ОИСР и одобрени от Съвета на ОИСР на минист</w:t>
      </w:r>
      <w:r>
        <w:rPr>
          <w:sz w:val="20"/>
        </w:rPr>
        <w:t>ерско ниво през май 2001 г.;</w:t>
      </w:r>
    </w:p>
    <w:p w14:paraId="190A30D9" w14:textId="77777777" w:rsidR="00C24E7F" w:rsidRDefault="00C24E7F">
      <w:pPr>
        <w:pStyle w:val="BodyText"/>
        <w:spacing w:before="2"/>
      </w:pPr>
    </w:p>
    <w:p w14:paraId="190A30DA" w14:textId="77777777" w:rsidR="00C24E7F" w:rsidRDefault="00B01AD7">
      <w:pPr>
        <w:pStyle w:val="BodyText"/>
        <w:spacing w:line="242" w:lineRule="auto"/>
        <w:ind w:left="676" w:right="705"/>
        <w:jc w:val="both"/>
      </w:pPr>
      <w:r>
        <w:rPr>
          <w:b/>
        </w:rPr>
        <w:t>КАТО ПРИЗНА</w:t>
      </w:r>
      <w:r>
        <w:t xml:space="preserve"> значението на правителствата за демонстриране на лидерство в напредъка към устойчиво развитие;</w:t>
      </w:r>
    </w:p>
    <w:p w14:paraId="190A30DB" w14:textId="77777777" w:rsidR="00C24E7F" w:rsidRPr="00B01AD7" w:rsidRDefault="00C24E7F">
      <w:pPr>
        <w:pStyle w:val="BodyText"/>
        <w:spacing w:before="7"/>
        <w:rPr>
          <w:sz w:val="16"/>
          <w:szCs w:val="16"/>
        </w:rPr>
      </w:pPr>
    </w:p>
    <w:p w14:paraId="190A30DC" w14:textId="77777777" w:rsidR="00C24E7F" w:rsidRDefault="00B01AD7">
      <w:pPr>
        <w:pStyle w:val="BodyText"/>
        <w:spacing w:line="242" w:lineRule="auto"/>
        <w:ind w:left="676" w:right="696"/>
        <w:jc w:val="both"/>
      </w:pPr>
      <w:r>
        <w:rPr>
          <w:b/>
        </w:rPr>
        <w:t>КАТО Е НАЯСНО С</w:t>
      </w:r>
      <w:r>
        <w:t xml:space="preserve"> ангажиментите, поети от страните-членки през 1992 г. на Конференцията на ООН по околната среда и развитието за преглед и подобряване на политиките за обществени поръчки, за да се премине към по-устойчиви модели на потребление и производство;</w:t>
      </w:r>
    </w:p>
    <w:p w14:paraId="190A30DD" w14:textId="77777777" w:rsidR="00C24E7F" w:rsidRDefault="00C24E7F">
      <w:pPr>
        <w:pStyle w:val="BodyText"/>
        <w:spacing w:before="4"/>
      </w:pPr>
    </w:p>
    <w:p w14:paraId="190A30DE" w14:textId="77777777" w:rsidR="00C24E7F" w:rsidRDefault="00B01AD7">
      <w:pPr>
        <w:pStyle w:val="BodyText"/>
        <w:ind w:left="676" w:right="695"/>
        <w:jc w:val="both"/>
      </w:pPr>
      <w:r>
        <w:rPr>
          <w:b/>
        </w:rPr>
        <w:t>КАТО ОТБЕЛЯЗ</w:t>
      </w:r>
      <w:r>
        <w:rPr>
          <w:b/>
        </w:rPr>
        <w:t>А,</w:t>
      </w:r>
      <w:r>
        <w:t xml:space="preserve"> че като средство за подобряване на екологичните показатели на обществените поръчки, публичните органи в редица страни-членки прилагат политики и практики, които се стремят да насърчат служителите по обществените поръчки да купуват продукти и услуги, кои</w:t>
      </w:r>
      <w:r>
        <w:t>то са по-малко вредни за околната среда (наричани по-долу „по-екологосъобразни политики за обществени поръчки");</w:t>
      </w:r>
    </w:p>
    <w:p w14:paraId="190A30DF" w14:textId="77777777" w:rsidR="00C24E7F" w:rsidRPr="00B01AD7" w:rsidRDefault="00C24E7F">
      <w:pPr>
        <w:pStyle w:val="BodyText"/>
        <w:spacing w:before="10"/>
        <w:rPr>
          <w:sz w:val="16"/>
          <w:szCs w:val="16"/>
        </w:rPr>
      </w:pPr>
    </w:p>
    <w:p w14:paraId="190A30E0" w14:textId="77777777" w:rsidR="00C24E7F" w:rsidRDefault="00B01AD7">
      <w:pPr>
        <w:pStyle w:val="BodyText"/>
        <w:spacing w:line="242" w:lineRule="auto"/>
        <w:ind w:left="676" w:right="694"/>
        <w:jc w:val="both"/>
      </w:pPr>
      <w:r>
        <w:rPr>
          <w:b/>
        </w:rPr>
        <w:t>КАТО ОТБЕЛЯЗА,</w:t>
      </w:r>
      <w:r>
        <w:t xml:space="preserve"> че по-екологосъобразните политики за обществени поръчки представляват важен елемент от свързаните с продуктите екологични полит</w:t>
      </w:r>
      <w:r>
        <w:t>ики, приети от някои страни-членки;</w:t>
      </w:r>
    </w:p>
    <w:p w14:paraId="190A30E1" w14:textId="77777777" w:rsidR="00C24E7F" w:rsidRPr="00B01AD7" w:rsidRDefault="00C24E7F">
      <w:pPr>
        <w:pStyle w:val="BodyText"/>
        <w:spacing w:before="6"/>
        <w:rPr>
          <w:sz w:val="16"/>
          <w:szCs w:val="16"/>
        </w:rPr>
      </w:pPr>
    </w:p>
    <w:p w14:paraId="190A30E2" w14:textId="77777777" w:rsidR="00C24E7F" w:rsidRDefault="00B01AD7">
      <w:pPr>
        <w:pStyle w:val="BodyText"/>
        <w:ind w:left="676" w:right="697"/>
        <w:jc w:val="both"/>
      </w:pPr>
      <w:r>
        <w:rPr>
          <w:b/>
        </w:rPr>
        <w:t>КАТО ОТБЕЛЯЗА</w:t>
      </w:r>
      <w:r>
        <w:t xml:space="preserve">, че мащабът на държавните поръчки е такъв, че по-екологосъобразни политики за обществени поръчки могат да допринесат за разработването и разпространението на продукти и услуги, които са по-малко вредни за </w:t>
      </w:r>
      <w:r>
        <w:t>околната среда;</w:t>
      </w:r>
    </w:p>
    <w:p w14:paraId="190A30E3" w14:textId="77777777" w:rsidR="00C24E7F" w:rsidRPr="00B01AD7" w:rsidRDefault="00C24E7F">
      <w:pPr>
        <w:pStyle w:val="BodyText"/>
        <w:spacing w:before="9"/>
        <w:rPr>
          <w:sz w:val="16"/>
          <w:szCs w:val="16"/>
        </w:rPr>
      </w:pPr>
    </w:p>
    <w:p w14:paraId="190A30E4" w14:textId="77777777" w:rsidR="00C24E7F" w:rsidRDefault="00B01AD7">
      <w:pPr>
        <w:pStyle w:val="BodyText"/>
        <w:spacing w:line="242" w:lineRule="auto"/>
        <w:ind w:left="676" w:right="694"/>
        <w:jc w:val="both"/>
      </w:pPr>
      <w:r>
        <w:rPr>
          <w:b/>
        </w:rPr>
        <w:t>КАТО ОТБЕЛЯЗА,</w:t>
      </w:r>
      <w:r>
        <w:t xml:space="preserve"> че по-екологосъобразни политики за обществени поръчки могат да доведат до по-рентабилни практики за обществени поръчки;</w:t>
      </w:r>
    </w:p>
    <w:p w14:paraId="190A30E5" w14:textId="77777777" w:rsidR="00C24E7F" w:rsidRPr="00B01AD7" w:rsidRDefault="00C24E7F">
      <w:pPr>
        <w:pStyle w:val="BodyText"/>
        <w:spacing w:before="6"/>
        <w:rPr>
          <w:sz w:val="16"/>
          <w:szCs w:val="16"/>
        </w:rPr>
      </w:pPr>
    </w:p>
    <w:p w14:paraId="190A30E6" w14:textId="77777777" w:rsidR="00C24E7F" w:rsidRDefault="00B01AD7">
      <w:pPr>
        <w:pStyle w:val="BodyText"/>
        <w:spacing w:before="1" w:line="242" w:lineRule="auto"/>
        <w:ind w:left="676" w:right="702"/>
        <w:jc w:val="both"/>
      </w:pPr>
      <w:r>
        <w:rPr>
          <w:b/>
        </w:rPr>
        <w:t>КАТО ПРИЗНА</w:t>
      </w:r>
      <w:r>
        <w:t xml:space="preserve"> необходимостта от запазване на отвореността на пазара и прилагане на принципите на прозрачн</w:t>
      </w:r>
      <w:r>
        <w:t>и и конкурентни процеси и недискриминация сред потенциалните доставчици;</w:t>
      </w:r>
    </w:p>
    <w:p w14:paraId="190A30E7" w14:textId="77777777" w:rsidR="00C24E7F" w:rsidRDefault="00C24E7F">
      <w:pPr>
        <w:pStyle w:val="BodyText"/>
        <w:spacing w:before="3"/>
      </w:pPr>
    </w:p>
    <w:p w14:paraId="190A30E8" w14:textId="77777777" w:rsidR="00C24E7F" w:rsidRDefault="00B01AD7">
      <w:pPr>
        <w:pStyle w:val="BodyText"/>
        <w:spacing w:line="242" w:lineRule="auto"/>
        <w:ind w:left="676" w:right="703"/>
        <w:jc w:val="both"/>
      </w:pPr>
      <w:r>
        <w:rPr>
          <w:b/>
        </w:rPr>
        <w:t>КАТО ОТЧЕТЕ,</w:t>
      </w:r>
      <w:r>
        <w:t xml:space="preserve"> че мерките за подобряване на екологичните показатели на обществените поръчки не следва да представляват ненужни пречки пред международната търговия;</w:t>
      </w:r>
    </w:p>
    <w:p w14:paraId="190A30E9" w14:textId="77777777" w:rsidR="00C24E7F" w:rsidRPr="00B01AD7" w:rsidRDefault="00C24E7F">
      <w:pPr>
        <w:pStyle w:val="BodyText"/>
        <w:spacing w:before="6"/>
        <w:rPr>
          <w:sz w:val="16"/>
          <w:szCs w:val="16"/>
        </w:rPr>
      </w:pPr>
    </w:p>
    <w:p w14:paraId="190A30EA" w14:textId="77777777" w:rsidR="00C24E7F" w:rsidRDefault="00B01AD7">
      <w:pPr>
        <w:pStyle w:val="BodyText"/>
        <w:spacing w:before="1" w:line="242" w:lineRule="auto"/>
        <w:ind w:left="676" w:right="698"/>
        <w:jc w:val="both"/>
      </w:pPr>
      <w:r>
        <w:rPr>
          <w:b/>
        </w:rPr>
        <w:t>КАТО ОТЧЕТЕ</w:t>
      </w:r>
      <w:r>
        <w:t>, че използването на съответните международни стандарти, както и споразуменията за еквивалентн</w:t>
      </w:r>
      <w:r>
        <w:t>ост и взаимно признаване, може да доведе до засилена координация между по-екологосъобразни политики за обществени поръчки на страните-членки и по този начин може да има положителен екологичен и икономически ефект;</w:t>
      </w:r>
    </w:p>
    <w:p w14:paraId="190A30EB" w14:textId="77777777" w:rsidR="00C24E7F" w:rsidRPr="00B01AD7" w:rsidRDefault="00C24E7F">
      <w:pPr>
        <w:pStyle w:val="BodyText"/>
        <w:spacing w:before="2"/>
        <w:rPr>
          <w:sz w:val="16"/>
          <w:szCs w:val="16"/>
        </w:rPr>
      </w:pPr>
    </w:p>
    <w:p w14:paraId="190A30EC" w14:textId="77777777" w:rsidR="00C24E7F" w:rsidRDefault="00B01AD7">
      <w:pPr>
        <w:pStyle w:val="BodyText"/>
        <w:ind w:left="676" w:right="697"/>
        <w:jc w:val="both"/>
      </w:pPr>
      <w:r>
        <w:rPr>
          <w:b/>
        </w:rPr>
        <w:t>КАТО ПРИЗНА,</w:t>
      </w:r>
      <w:r>
        <w:t xml:space="preserve"> че по-екологосъобразните пол</w:t>
      </w:r>
      <w:r>
        <w:t>итики за обществени поръчки зависят за тяхната ефективност и ефикасност от: използването на подходящи методи за отчитане на разходите за околната среда на продуктите и услугите, включително, когато е уместно, въздействието върху околната среда през целия ж</w:t>
      </w:r>
      <w:r>
        <w:t>изнен цикъл; координация между обществените поръчки, бюджета, околната среда и други съответни държавни служители; координация с други мерки на политиката в областта на околната среда като икономически инструменти (напр. емисионни разрешителни и екологични</w:t>
      </w:r>
      <w:r>
        <w:t xml:space="preserve"> данъци), стандарти за изпълнение и мерки, базирани на информация (напр. демонстрационни проекти и екоетикети); и предотвратяване на неверни или подвеждащи твърдения за качеството на околната среда;</w:t>
      </w:r>
    </w:p>
    <w:p w14:paraId="190A30ED" w14:textId="77777777" w:rsidR="00C24E7F" w:rsidRPr="00B01AD7" w:rsidRDefault="00C24E7F">
      <w:pPr>
        <w:pStyle w:val="BodyText"/>
        <w:spacing w:before="11"/>
        <w:rPr>
          <w:sz w:val="16"/>
          <w:szCs w:val="16"/>
        </w:rPr>
      </w:pPr>
    </w:p>
    <w:p w14:paraId="190A30EE" w14:textId="77777777" w:rsidR="00C24E7F" w:rsidRDefault="00B01AD7">
      <w:pPr>
        <w:pStyle w:val="BodyText"/>
        <w:spacing w:line="242" w:lineRule="auto"/>
        <w:ind w:left="676" w:right="705"/>
        <w:jc w:val="both"/>
      </w:pPr>
      <w:r>
        <w:rPr>
          <w:b/>
        </w:rPr>
        <w:t>КАТО ОСЪЗНАВА</w:t>
      </w:r>
      <w:r>
        <w:t xml:space="preserve"> необходимостта страните-членки да приспосо</w:t>
      </w:r>
      <w:r>
        <w:t>бят стратегиите за прилагане на по-екологосъобразни политики за обществени поръчки, за да отговарят на техните индивидуални институционални, социални, икономически и екологични нужди и приоритети;</w:t>
      </w:r>
    </w:p>
    <w:p w14:paraId="190A30EF" w14:textId="77777777" w:rsidR="00C24E7F" w:rsidRDefault="00C24E7F">
      <w:pPr>
        <w:pStyle w:val="BodyText"/>
        <w:spacing w:before="4"/>
      </w:pPr>
    </w:p>
    <w:p w14:paraId="190A30F0" w14:textId="77777777" w:rsidR="00C24E7F" w:rsidRDefault="00B01AD7">
      <w:pPr>
        <w:pStyle w:val="Heading3"/>
      </w:pPr>
      <w:r>
        <w:t>По предложение на Комитета по екологична политика:</w:t>
      </w:r>
    </w:p>
    <w:p w14:paraId="190A30F1" w14:textId="77777777" w:rsidR="00C24E7F" w:rsidRDefault="00C24E7F">
      <w:pPr>
        <w:sectPr w:rsidR="00C24E7F">
          <w:pgSz w:w="11910" w:h="16840"/>
          <w:pgMar w:top="760" w:right="720" w:bottom="280" w:left="740" w:header="720" w:footer="720" w:gutter="0"/>
          <w:cols w:space="720"/>
        </w:sectPr>
      </w:pPr>
    </w:p>
    <w:p w14:paraId="190A30F2" w14:textId="65286AD4" w:rsidR="00C24E7F" w:rsidRDefault="00B01AD7">
      <w:pPr>
        <w:pStyle w:val="BodyText"/>
        <w:tabs>
          <w:tab w:val="left" w:pos="2273"/>
        </w:tabs>
        <w:spacing w:before="69"/>
        <w:ind w:right="102"/>
        <w:jc w:val="right"/>
      </w:pPr>
      <w:r>
        <w:rPr>
          <w:color w:val="2B2A29"/>
        </w:rPr>
        <w:lastRenderedPageBreak/>
        <w:t>O</w:t>
      </w:r>
      <w:r>
        <w:rPr>
          <w:color w:val="2B2A29"/>
          <w:lang/>
        </w:rPr>
        <w:t>ECD/LEGAL/0311</w:t>
      </w:r>
    </w:p>
    <w:p w14:paraId="190A30F3" w14:textId="77777777" w:rsidR="00C24E7F" w:rsidRDefault="00B01AD7">
      <w:pPr>
        <w:pStyle w:val="BodyText"/>
        <w:spacing w:line="20" w:lineRule="exact"/>
        <w:ind w:left="103"/>
        <w:rPr>
          <w:sz w:val="2"/>
        </w:rPr>
      </w:pPr>
      <w:r>
        <w:rPr>
          <w:sz w:val="2"/>
        </w:rPr>
      </w:r>
      <w:r>
        <w:rPr>
          <w:sz w:val="2"/>
        </w:rPr>
        <w:pict w14:anchorId="190A3134">
          <v:group id="_x0000_s1026" style="width:396.1pt;height:.65pt;mso-position-horizontal-relative:char;mso-position-vertical-relative:line" coordsize="7922,13">
            <v:line id="_x0000_s1027" style="position:absolute" from="0,6" to="7921,6" strokecolor="#2a2928" strokeweight=".63pt"/>
            <w10:anchorlock/>
          </v:group>
        </w:pict>
      </w:r>
    </w:p>
    <w:p w14:paraId="190A30F4" w14:textId="77777777" w:rsidR="00C24E7F" w:rsidRDefault="00C24E7F">
      <w:pPr>
        <w:pStyle w:val="BodyText"/>
        <w:rPr>
          <w:sz w:val="15"/>
        </w:rPr>
      </w:pPr>
    </w:p>
    <w:p w14:paraId="190A30F5" w14:textId="77777777" w:rsidR="00C24E7F" w:rsidRDefault="00B01AD7">
      <w:pPr>
        <w:pStyle w:val="ListParagraph"/>
        <w:numPr>
          <w:ilvl w:val="0"/>
          <w:numId w:val="2"/>
        </w:numPr>
        <w:tabs>
          <w:tab w:val="left" w:pos="1396"/>
          <w:tab w:val="left" w:pos="1397"/>
        </w:tabs>
        <w:spacing w:before="93"/>
        <w:ind w:right="696" w:firstLine="0"/>
        <w:jc w:val="both"/>
        <w:rPr>
          <w:sz w:val="20"/>
        </w:rPr>
      </w:pPr>
      <w:r>
        <w:rPr>
          <w:b/>
          <w:sz w:val="20"/>
        </w:rPr>
        <w:t xml:space="preserve">ПРЕПОРЪЧВА </w:t>
      </w:r>
      <w:r>
        <w:rPr>
          <w:sz w:val="20"/>
        </w:rPr>
        <w:t>на страните-членки да отчитат в по-голяма степен съображенията за опазване на околната среда при обществените поръчки на продукти и ус</w:t>
      </w:r>
      <w:r>
        <w:rPr>
          <w:sz w:val="20"/>
        </w:rPr>
        <w:t>луги (включително, но не само, консумативи, капиталови стоки, инфраструктура, строителство и обществено строителство), за да подобрят екологичната ефективност на обществените поръчки, и по този начин да насърчават непрекъснатото подобряване на екологичните</w:t>
      </w:r>
      <w:r>
        <w:rPr>
          <w:sz w:val="20"/>
        </w:rPr>
        <w:t xml:space="preserve"> показатели на продуктите и услугите.</w:t>
      </w:r>
    </w:p>
    <w:p w14:paraId="190A30F6" w14:textId="77777777" w:rsidR="00C24E7F" w:rsidRDefault="00C24E7F">
      <w:pPr>
        <w:pStyle w:val="BodyText"/>
        <w:spacing w:before="1"/>
        <w:rPr>
          <w:sz w:val="21"/>
        </w:rPr>
      </w:pPr>
    </w:p>
    <w:p w14:paraId="190A30F7" w14:textId="77777777" w:rsidR="00C24E7F" w:rsidRDefault="00B01AD7">
      <w:pPr>
        <w:pStyle w:val="ListParagraph"/>
        <w:numPr>
          <w:ilvl w:val="0"/>
          <w:numId w:val="2"/>
        </w:numPr>
        <w:tabs>
          <w:tab w:val="left" w:pos="1397"/>
        </w:tabs>
        <w:ind w:left="1396" w:right="0" w:hanging="721"/>
        <w:jc w:val="both"/>
        <w:rPr>
          <w:sz w:val="20"/>
        </w:rPr>
      </w:pPr>
      <w:r>
        <w:rPr>
          <w:sz w:val="20"/>
        </w:rPr>
        <w:t xml:space="preserve">В тази връзка </w:t>
      </w:r>
      <w:r>
        <w:rPr>
          <w:b/>
          <w:bCs/>
          <w:sz w:val="20"/>
        </w:rPr>
        <w:t>ПРЕПОРЪЧВА</w:t>
      </w:r>
      <w:r>
        <w:rPr>
          <w:sz w:val="20"/>
        </w:rPr>
        <w:t xml:space="preserve"> страните-членки:</w:t>
      </w:r>
    </w:p>
    <w:p w14:paraId="190A30F8" w14:textId="77777777" w:rsidR="00C24E7F" w:rsidRDefault="00C24E7F">
      <w:pPr>
        <w:pStyle w:val="BodyText"/>
        <w:spacing w:before="10"/>
      </w:pPr>
    </w:p>
    <w:p w14:paraId="190A30F9" w14:textId="77777777" w:rsidR="00C24E7F" w:rsidRDefault="00B01AD7">
      <w:pPr>
        <w:pStyle w:val="ListParagraph"/>
        <w:numPr>
          <w:ilvl w:val="1"/>
          <w:numId w:val="2"/>
        </w:numPr>
        <w:tabs>
          <w:tab w:val="left" w:pos="1397"/>
        </w:tabs>
        <w:ind w:firstLine="0"/>
        <w:jc w:val="both"/>
        <w:rPr>
          <w:sz w:val="20"/>
        </w:rPr>
      </w:pPr>
      <w:r>
        <w:rPr>
          <w:sz w:val="20"/>
        </w:rPr>
        <w:t>Да разработват по-екологосъобразни политики за обществени поръчки по начини, които са съвместими с конкуренцията на страните-членки и други съответни национални политики, както и с техните международни задължения и ангажименти;</w:t>
      </w:r>
    </w:p>
    <w:p w14:paraId="190A30FA" w14:textId="77777777" w:rsidR="00C24E7F" w:rsidRDefault="00C24E7F">
      <w:pPr>
        <w:pStyle w:val="BodyText"/>
        <w:rPr>
          <w:sz w:val="21"/>
        </w:rPr>
      </w:pPr>
    </w:p>
    <w:p w14:paraId="190A30FB" w14:textId="77777777" w:rsidR="00C24E7F" w:rsidRDefault="00B01AD7">
      <w:pPr>
        <w:pStyle w:val="ListParagraph"/>
        <w:numPr>
          <w:ilvl w:val="1"/>
          <w:numId w:val="2"/>
        </w:numPr>
        <w:tabs>
          <w:tab w:val="left" w:pos="1397"/>
        </w:tabs>
        <w:ind w:right="700" w:firstLine="0"/>
        <w:jc w:val="both"/>
        <w:rPr>
          <w:sz w:val="20"/>
        </w:rPr>
      </w:pPr>
      <w:r>
        <w:rPr>
          <w:sz w:val="20"/>
        </w:rPr>
        <w:t>Да предприемат следните кон</w:t>
      </w:r>
      <w:r>
        <w:rPr>
          <w:sz w:val="20"/>
        </w:rPr>
        <w:t>кретни стъпки, за да гарантират включването на екологични критерии в обществените поръчки на продукти и услуги, включително, когато е уместно, въздействия върху околната среда през целия жизнен цикъл, като същевременно гарантират, че прозрачността, недискр</w:t>
      </w:r>
      <w:r>
        <w:rPr>
          <w:sz w:val="20"/>
        </w:rPr>
        <w:t>иминацията и конкуренцията се запазват:</w:t>
      </w:r>
    </w:p>
    <w:p w14:paraId="190A30FC" w14:textId="77777777" w:rsidR="00C24E7F" w:rsidRDefault="00C24E7F">
      <w:pPr>
        <w:pStyle w:val="BodyText"/>
        <w:spacing w:before="10"/>
      </w:pPr>
    </w:p>
    <w:p w14:paraId="190A30FD" w14:textId="77777777" w:rsidR="00C24E7F" w:rsidRDefault="00B01AD7">
      <w:pPr>
        <w:pStyle w:val="ListParagraph"/>
        <w:numPr>
          <w:ilvl w:val="2"/>
          <w:numId w:val="2"/>
        </w:numPr>
        <w:tabs>
          <w:tab w:val="left" w:pos="1810"/>
        </w:tabs>
        <w:ind w:right="702"/>
        <w:jc w:val="both"/>
        <w:rPr>
          <w:sz w:val="20"/>
        </w:rPr>
      </w:pPr>
      <w:r>
        <w:rPr>
          <w:sz w:val="20"/>
        </w:rPr>
        <w:t>Осигуряване на подходяща политическа рамка за включване на екологични критерии в обществените поръчки на продукти и услуги, заедно с критерии за цена и ефективност;</w:t>
      </w:r>
    </w:p>
    <w:p w14:paraId="190A30FE" w14:textId="77777777" w:rsidR="00C24E7F" w:rsidRDefault="00C24E7F">
      <w:pPr>
        <w:pStyle w:val="BodyText"/>
        <w:spacing w:before="11"/>
      </w:pPr>
    </w:p>
    <w:p w14:paraId="190A30FF" w14:textId="77777777" w:rsidR="00C24E7F" w:rsidRDefault="00B01AD7">
      <w:pPr>
        <w:pStyle w:val="ListParagraph"/>
        <w:numPr>
          <w:ilvl w:val="2"/>
          <w:numId w:val="2"/>
        </w:numPr>
        <w:tabs>
          <w:tab w:val="left" w:pos="1810"/>
        </w:tabs>
        <w:jc w:val="both"/>
        <w:rPr>
          <w:sz w:val="20"/>
        </w:rPr>
      </w:pPr>
      <w:r>
        <w:rPr>
          <w:sz w:val="20"/>
        </w:rPr>
        <w:t>Въвеждане на финансови, бюджетни и счетоводни мер</w:t>
      </w:r>
      <w:r>
        <w:rPr>
          <w:sz w:val="20"/>
        </w:rPr>
        <w:t>ки, за да се гарантира, че политиките и практиките на обществените поръчки отчитат екологичните разходи на продуктите и услугите;</w:t>
      </w:r>
    </w:p>
    <w:p w14:paraId="190A3100" w14:textId="77777777" w:rsidR="00C24E7F" w:rsidRDefault="00C24E7F">
      <w:pPr>
        <w:pStyle w:val="BodyText"/>
        <w:spacing w:before="9"/>
      </w:pPr>
    </w:p>
    <w:p w14:paraId="190A3101" w14:textId="77777777" w:rsidR="00C24E7F" w:rsidRDefault="00B01AD7">
      <w:pPr>
        <w:pStyle w:val="ListParagraph"/>
        <w:numPr>
          <w:ilvl w:val="2"/>
          <w:numId w:val="2"/>
        </w:numPr>
        <w:tabs>
          <w:tab w:val="left" w:pos="1810"/>
        </w:tabs>
        <w:ind w:right="701"/>
        <w:jc w:val="both"/>
        <w:rPr>
          <w:sz w:val="20"/>
        </w:rPr>
      </w:pPr>
      <w:r>
        <w:rPr>
          <w:sz w:val="20"/>
        </w:rPr>
        <w:t>Предоставяне на информация, обучение и техническа помощ на служители, участващи във веригата за обществени поръчки и използва</w:t>
      </w:r>
      <w:r>
        <w:rPr>
          <w:sz w:val="20"/>
        </w:rPr>
        <w:t>не, включително тези, които определят критериите за изпълнение на продуктите и услугите, тези, които отговарят за обществените поръчки, и тези, които използват продуктите и услугите;</w:t>
      </w:r>
    </w:p>
    <w:p w14:paraId="190A3102" w14:textId="77777777" w:rsidR="00C24E7F" w:rsidRDefault="00C24E7F">
      <w:pPr>
        <w:pStyle w:val="BodyText"/>
        <w:spacing w:before="9"/>
      </w:pPr>
    </w:p>
    <w:p w14:paraId="190A3103" w14:textId="77777777" w:rsidR="00C24E7F" w:rsidRDefault="00B01AD7">
      <w:pPr>
        <w:pStyle w:val="ListParagraph"/>
        <w:numPr>
          <w:ilvl w:val="2"/>
          <w:numId w:val="2"/>
        </w:numPr>
        <w:tabs>
          <w:tab w:val="left" w:pos="1810"/>
        </w:tabs>
        <w:ind w:right="708"/>
        <w:jc w:val="both"/>
        <w:rPr>
          <w:sz w:val="20"/>
        </w:rPr>
      </w:pPr>
      <w:r>
        <w:rPr>
          <w:sz w:val="20"/>
        </w:rPr>
        <w:t>Създаване на информация и инструменти, които улесняват по-екологичните обществени покупки, достъпни за всички нива на управление;</w:t>
      </w:r>
    </w:p>
    <w:p w14:paraId="190A3104" w14:textId="77777777" w:rsidR="00C24E7F" w:rsidRDefault="00C24E7F">
      <w:pPr>
        <w:pStyle w:val="BodyText"/>
        <w:rPr>
          <w:sz w:val="21"/>
        </w:rPr>
      </w:pPr>
    </w:p>
    <w:p w14:paraId="190A3105" w14:textId="77777777" w:rsidR="00C24E7F" w:rsidRDefault="00B01AD7">
      <w:pPr>
        <w:pStyle w:val="ListParagraph"/>
        <w:numPr>
          <w:ilvl w:val="2"/>
          <w:numId w:val="2"/>
        </w:numPr>
        <w:tabs>
          <w:tab w:val="left" w:pos="1810"/>
        </w:tabs>
        <w:jc w:val="both"/>
        <w:rPr>
          <w:sz w:val="20"/>
        </w:rPr>
      </w:pPr>
      <w:r>
        <w:rPr>
          <w:sz w:val="20"/>
        </w:rPr>
        <w:t>Разпространение на информацията, необходима за улесняване и насърчаване на по-екологосъобразни решения за обществени поръчки,</w:t>
      </w:r>
      <w:r>
        <w:rPr>
          <w:sz w:val="20"/>
        </w:rPr>
        <w:t xml:space="preserve"> както и резултатите и ползите, произтичащи от тяхното приемане;</w:t>
      </w:r>
    </w:p>
    <w:p w14:paraId="190A3106" w14:textId="77777777" w:rsidR="00C24E7F" w:rsidRDefault="00C24E7F">
      <w:pPr>
        <w:pStyle w:val="BodyText"/>
        <w:spacing w:before="11"/>
      </w:pPr>
    </w:p>
    <w:p w14:paraId="190A3107" w14:textId="77777777" w:rsidR="00C24E7F" w:rsidRDefault="00B01AD7">
      <w:pPr>
        <w:pStyle w:val="ListParagraph"/>
        <w:numPr>
          <w:ilvl w:val="2"/>
          <w:numId w:val="2"/>
        </w:numPr>
        <w:tabs>
          <w:tab w:val="left" w:pos="1810"/>
        </w:tabs>
        <w:ind w:right="703"/>
        <w:jc w:val="both"/>
        <w:rPr>
          <w:sz w:val="20"/>
        </w:rPr>
      </w:pPr>
      <w:r>
        <w:rPr>
          <w:sz w:val="20"/>
        </w:rPr>
        <w:t>Създаване на процедури за идентифициране на продукти и услуги, които отговарят на целите на по-екологосъобразните политики за обществени поръчки;</w:t>
      </w:r>
    </w:p>
    <w:p w14:paraId="190A3108" w14:textId="77777777" w:rsidR="00C24E7F" w:rsidRDefault="00C24E7F">
      <w:pPr>
        <w:pStyle w:val="BodyText"/>
        <w:spacing w:before="8"/>
      </w:pPr>
    </w:p>
    <w:p w14:paraId="190A3109" w14:textId="77777777" w:rsidR="00C24E7F" w:rsidRDefault="00B01AD7">
      <w:pPr>
        <w:pStyle w:val="ListParagraph"/>
        <w:numPr>
          <w:ilvl w:val="2"/>
          <w:numId w:val="2"/>
        </w:numPr>
        <w:tabs>
          <w:tab w:val="left" w:pos="1810"/>
        </w:tabs>
        <w:ind w:right="704"/>
        <w:jc w:val="both"/>
        <w:rPr>
          <w:sz w:val="20"/>
        </w:rPr>
      </w:pPr>
      <w:r>
        <w:rPr>
          <w:sz w:val="20"/>
        </w:rPr>
        <w:t>Насърчаване на разработването на индикатори</w:t>
      </w:r>
      <w:r>
        <w:rPr>
          <w:sz w:val="20"/>
        </w:rPr>
        <w:t xml:space="preserve"> за измерване и наблюдение на постигнатия напредък в по-екологосъобразните обществени поръчки;</w:t>
      </w:r>
    </w:p>
    <w:p w14:paraId="190A310A" w14:textId="77777777" w:rsidR="00C24E7F" w:rsidRDefault="00C24E7F">
      <w:pPr>
        <w:pStyle w:val="BodyText"/>
        <w:spacing w:before="11"/>
      </w:pPr>
    </w:p>
    <w:p w14:paraId="190A310B" w14:textId="77777777" w:rsidR="00C24E7F" w:rsidRDefault="00B01AD7">
      <w:pPr>
        <w:pStyle w:val="ListParagraph"/>
        <w:numPr>
          <w:ilvl w:val="2"/>
          <w:numId w:val="2"/>
        </w:numPr>
        <w:tabs>
          <w:tab w:val="left" w:pos="1810"/>
        </w:tabs>
        <w:ind w:right="707"/>
        <w:jc w:val="both"/>
        <w:rPr>
          <w:sz w:val="20"/>
        </w:rPr>
      </w:pPr>
      <w:r>
        <w:rPr>
          <w:sz w:val="20"/>
        </w:rPr>
        <w:t>Преценка и оценка на по-екологосъобразните политики за обществени поръчки, за да гарантират, че те са икономически ефективни и екологично ефективни.</w:t>
      </w:r>
    </w:p>
    <w:p w14:paraId="190A310C" w14:textId="77777777" w:rsidR="00C24E7F" w:rsidRDefault="00C24E7F">
      <w:pPr>
        <w:pStyle w:val="BodyText"/>
        <w:spacing w:before="8"/>
      </w:pPr>
    </w:p>
    <w:p w14:paraId="190A310D" w14:textId="77777777" w:rsidR="00C24E7F" w:rsidRDefault="00B01AD7">
      <w:pPr>
        <w:pStyle w:val="ListParagraph"/>
        <w:numPr>
          <w:ilvl w:val="0"/>
          <w:numId w:val="2"/>
        </w:numPr>
        <w:tabs>
          <w:tab w:val="left" w:pos="1397"/>
        </w:tabs>
        <w:spacing w:before="1"/>
        <w:ind w:left="1396" w:right="0" w:hanging="721"/>
        <w:jc w:val="both"/>
        <w:rPr>
          <w:sz w:val="20"/>
        </w:rPr>
      </w:pPr>
      <w:r>
        <w:rPr>
          <w:b/>
          <w:bCs/>
          <w:sz w:val="20"/>
        </w:rPr>
        <w:t>ПРИКАНВА</w:t>
      </w:r>
      <w:r>
        <w:rPr>
          <w:sz w:val="20"/>
        </w:rPr>
        <w:t xml:space="preserve"> К</w:t>
      </w:r>
      <w:r>
        <w:rPr>
          <w:sz w:val="20"/>
        </w:rPr>
        <w:t>омитета по екологична политика:</w:t>
      </w:r>
    </w:p>
    <w:p w14:paraId="190A310E" w14:textId="77777777" w:rsidR="00C24E7F" w:rsidRDefault="00C24E7F">
      <w:pPr>
        <w:pStyle w:val="BodyText"/>
        <w:spacing w:before="10"/>
      </w:pPr>
    </w:p>
    <w:p w14:paraId="190A310F" w14:textId="77777777" w:rsidR="00C24E7F" w:rsidRDefault="00B01AD7">
      <w:pPr>
        <w:pStyle w:val="ListParagraph"/>
        <w:numPr>
          <w:ilvl w:val="1"/>
          <w:numId w:val="2"/>
        </w:numPr>
        <w:tabs>
          <w:tab w:val="left" w:pos="1397"/>
        </w:tabs>
        <w:ind w:right="706" w:firstLine="0"/>
        <w:jc w:val="both"/>
        <w:rPr>
          <w:sz w:val="20"/>
        </w:rPr>
      </w:pPr>
      <w:r>
        <w:rPr>
          <w:sz w:val="20"/>
        </w:rPr>
        <w:t xml:space="preserve">Да подкрепя усилията на страните-членки за разработване и прилагане на ефикасни и ефективни по-екологосъобразни политики за обществени поръчки, например чрез събиране и разпространение на информация за „най-добри практики“ </w:t>
      </w:r>
      <w:r>
        <w:rPr>
          <w:sz w:val="20"/>
        </w:rPr>
        <w:t>и разработване на подходящи показатели;</w:t>
      </w:r>
    </w:p>
    <w:p w14:paraId="190A3110" w14:textId="77777777" w:rsidR="00C24E7F" w:rsidRDefault="00C24E7F">
      <w:pPr>
        <w:pStyle w:val="BodyText"/>
        <w:rPr>
          <w:sz w:val="21"/>
        </w:rPr>
      </w:pPr>
    </w:p>
    <w:p w14:paraId="190A3111" w14:textId="77777777" w:rsidR="00C24E7F" w:rsidRDefault="00B01AD7">
      <w:pPr>
        <w:pStyle w:val="ListParagraph"/>
        <w:numPr>
          <w:ilvl w:val="1"/>
          <w:numId w:val="2"/>
        </w:numPr>
        <w:tabs>
          <w:tab w:val="left" w:pos="1397"/>
        </w:tabs>
        <w:ind w:right="708" w:firstLine="0"/>
        <w:jc w:val="both"/>
        <w:rPr>
          <w:sz w:val="20"/>
        </w:rPr>
      </w:pPr>
      <w:r>
        <w:rPr>
          <w:sz w:val="20"/>
        </w:rPr>
        <w:t>Да наблюдава, оценява и докладва на Съвета през 2005 г. за прилагането на тази препоръка от страна на държавите-членки и за всички пречки пред по-нататъшния напредък.</w:t>
      </w:r>
    </w:p>
    <w:p w14:paraId="190A3112" w14:textId="77777777" w:rsidR="00C24E7F" w:rsidRDefault="00C24E7F">
      <w:pPr>
        <w:jc w:val="both"/>
        <w:rPr>
          <w:sz w:val="20"/>
        </w:rPr>
        <w:sectPr w:rsidR="00C24E7F">
          <w:pgSz w:w="11910" w:h="16840"/>
          <w:pgMar w:top="760" w:right="720" w:bottom="280" w:left="740" w:header="720" w:footer="720" w:gutter="0"/>
          <w:cols w:space="720"/>
        </w:sectPr>
      </w:pPr>
    </w:p>
    <w:p w14:paraId="190A3113" w14:textId="77777777" w:rsidR="00C24E7F" w:rsidRDefault="00B01AD7">
      <w:pPr>
        <w:pStyle w:val="Heading2"/>
      </w:pPr>
      <w:bookmarkStart w:id="0" w:name="About_the_OECD"/>
      <w:bookmarkEnd w:id="0"/>
      <w:r>
        <w:rPr>
          <w:color w:val="1F4679"/>
        </w:rPr>
        <w:lastRenderedPageBreak/>
        <w:t>Относно ОИСР</w:t>
      </w:r>
    </w:p>
    <w:p w14:paraId="190A3114" w14:textId="77777777" w:rsidR="00C24E7F" w:rsidRDefault="00C24E7F">
      <w:pPr>
        <w:pStyle w:val="BodyText"/>
        <w:spacing w:before="5"/>
        <w:rPr>
          <w:b/>
          <w:sz w:val="21"/>
        </w:rPr>
      </w:pPr>
    </w:p>
    <w:p w14:paraId="190A3115" w14:textId="77777777" w:rsidR="00C24E7F" w:rsidRDefault="00B01AD7">
      <w:pPr>
        <w:pStyle w:val="BodyText"/>
        <w:ind w:left="116" w:right="156"/>
        <w:jc w:val="both"/>
      </w:pPr>
      <w:r>
        <w:t>ОИСР е уникален форум, където правителствата работят заедно з</w:t>
      </w:r>
      <w:r>
        <w:t>а справяне с икономическите, социалните и екологичните предизвикателства на глобализацията. ОИСР също е в челните редици на усилията за разбиране и подпомагане на правителствата да отговорят на новите развития и опасения, като корпоративно управление, инфо</w:t>
      </w:r>
      <w:r>
        <w:t>рмационна икономика и предизвикателствата на застаряващото население. Организацията осигурява среда, в която правителствата могат да сравняват политическия опит, да търсят отговори на общи проблеми, да идентифицират добри практики и да работят за координир</w:t>
      </w:r>
      <w:r>
        <w:t>ане на вътрешни и международни политики.</w:t>
      </w:r>
    </w:p>
    <w:p w14:paraId="190A3116" w14:textId="77777777" w:rsidR="00C24E7F" w:rsidRDefault="00C24E7F">
      <w:pPr>
        <w:pStyle w:val="BodyText"/>
        <w:spacing w:before="10"/>
      </w:pPr>
    </w:p>
    <w:p w14:paraId="190A3117" w14:textId="77777777" w:rsidR="00C24E7F" w:rsidRDefault="00B01AD7">
      <w:pPr>
        <w:pStyle w:val="BodyText"/>
        <w:ind w:left="115" w:right="144" w:hanging="3"/>
        <w:jc w:val="both"/>
      </w:pPr>
      <w:r>
        <w:t>Страните членки на ОИСР са: Австралия, Австрия, Белгия, Канада, Чили, Колумбия, Коста Рика, Чехия, Дания, Естония, Финландия, Франция, Германия, Гърция, Унгария, Исландия, Ирландия, Израел, Италия, Япония, Корея, Л</w:t>
      </w:r>
      <w:r>
        <w:t>атвия, Литва, Люксембург , Мексико, Холандия, Нова Зеландия, Норвегия, Полша, Португалия, Република Словакия, Словения, Испания, Швеция, Швейцария, Турция, Обединеното кралство и Съединените щати. Европейският съюз участва в работата на ОИСР.</w:t>
      </w:r>
    </w:p>
    <w:p w14:paraId="190A3118" w14:textId="77777777" w:rsidR="00C24E7F" w:rsidRDefault="00C24E7F">
      <w:pPr>
        <w:pStyle w:val="BodyText"/>
        <w:rPr>
          <w:sz w:val="22"/>
        </w:rPr>
      </w:pPr>
    </w:p>
    <w:p w14:paraId="190A3119" w14:textId="77777777" w:rsidR="00C24E7F" w:rsidRDefault="00B01AD7">
      <w:pPr>
        <w:pStyle w:val="Heading2"/>
        <w:spacing w:before="141"/>
      </w:pPr>
      <w:bookmarkStart w:id="1" w:name="OECD_Legal_Instruments"/>
      <w:bookmarkEnd w:id="1"/>
      <w:r>
        <w:rPr>
          <w:color w:val="1F4679"/>
        </w:rPr>
        <w:t>Правни инстр</w:t>
      </w:r>
      <w:r>
        <w:rPr>
          <w:color w:val="1F4679"/>
        </w:rPr>
        <w:t>ументи на ОИСР</w:t>
      </w:r>
    </w:p>
    <w:p w14:paraId="190A311A" w14:textId="77777777" w:rsidR="00C24E7F" w:rsidRDefault="00C24E7F">
      <w:pPr>
        <w:pStyle w:val="BodyText"/>
        <w:spacing w:before="7"/>
        <w:rPr>
          <w:b/>
          <w:sz w:val="21"/>
        </w:rPr>
      </w:pPr>
    </w:p>
    <w:p w14:paraId="190A311B" w14:textId="77777777" w:rsidR="00C24E7F" w:rsidRDefault="00B01AD7">
      <w:pPr>
        <w:pStyle w:val="BodyText"/>
        <w:ind w:left="116" w:right="150"/>
        <w:jc w:val="both"/>
      </w:pPr>
      <w:r>
        <w:t>От създаването на ОИСР през 1961 г. в рамките на ОИСР са разработени около 460 материалноправни инструмента. Те включват актове на ОИСР (т.е. решения и препоръки, приети от Съвета на ОИСР в съответствие с Конвенцията на ОИСР) и други правни</w:t>
      </w:r>
      <w:r>
        <w:t xml:space="preserve"> инструменти, разработени в рамките на ОИСР (напр. декларации, международни споразумения).</w:t>
      </w:r>
    </w:p>
    <w:p w14:paraId="190A311C" w14:textId="77777777" w:rsidR="00C24E7F" w:rsidRDefault="00C24E7F">
      <w:pPr>
        <w:pStyle w:val="BodyText"/>
        <w:spacing w:before="10"/>
      </w:pPr>
    </w:p>
    <w:p w14:paraId="190A311D" w14:textId="77777777" w:rsidR="00C24E7F" w:rsidRDefault="00B01AD7">
      <w:pPr>
        <w:pStyle w:val="BodyText"/>
        <w:ind w:left="113" w:right="150"/>
        <w:jc w:val="both"/>
      </w:pPr>
      <w:r>
        <w:t>Всички съществени правни инструменти на ОИСР, независимо дали са в сила или са отменени, са изброени в онлайн сборника на правните инструменти на ОИСР. Те са предст</w:t>
      </w:r>
      <w:r>
        <w:t>авени в пет категории:</w:t>
      </w:r>
    </w:p>
    <w:p w14:paraId="190A311E" w14:textId="77777777" w:rsidR="00C24E7F" w:rsidRDefault="00C24E7F">
      <w:pPr>
        <w:pStyle w:val="BodyText"/>
        <w:spacing w:before="8"/>
        <w:rPr>
          <w:sz w:val="18"/>
        </w:rPr>
      </w:pPr>
    </w:p>
    <w:p w14:paraId="190A311F" w14:textId="77777777" w:rsidR="00C24E7F" w:rsidRDefault="00B01AD7">
      <w:pPr>
        <w:pStyle w:val="ListParagraph"/>
        <w:numPr>
          <w:ilvl w:val="0"/>
          <w:numId w:val="1"/>
        </w:numPr>
        <w:tabs>
          <w:tab w:val="left" w:pos="852"/>
          <w:tab w:val="left" w:pos="853"/>
        </w:tabs>
        <w:spacing w:line="242" w:lineRule="auto"/>
        <w:ind w:right="110"/>
        <w:rPr>
          <w:sz w:val="20"/>
        </w:rPr>
      </w:pPr>
      <w:r>
        <w:rPr>
          <w:b/>
          <w:sz w:val="20"/>
        </w:rPr>
        <w:t>Решенията</w:t>
      </w:r>
      <w:r>
        <w:rPr>
          <w:sz w:val="20"/>
        </w:rPr>
        <w:t xml:space="preserve"> се приемат от Съвета и са правно обвързващи за всички страни-членки с изключение на тези, които се въздържат към момента на приемане. Те определят специфични права и задължения и могат да съдържат механизми за наблюдение.</w:t>
      </w:r>
    </w:p>
    <w:p w14:paraId="190A3120" w14:textId="77777777" w:rsidR="00C24E7F" w:rsidRDefault="00C24E7F">
      <w:pPr>
        <w:pStyle w:val="BodyText"/>
        <w:spacing w:before="7"/>
        <w:rPr>
          <w:sz w:val="17"/>
        </w:rPr>
      </w:pPr>
    </w:p>
    <w:p w14:paraId="190A3121" w14:textId="77777777" w:rsidR="00C24E7F" w:rsidRDefault="00B01AD7">
      <w:pPr>
        <w:pStyle w:val="ListParagraph"/>
        <w:numPr>
          <w:ilvl w:val="0"/>
          <w:numId w:val="1"/>
        </w:numPr>
        <w:tabs>
          <w:tab w:val="left" w:pos="852"/>
          <w:tab w:val="left" w:pos="853"/>
        </w:tabs>
        <w:spacing w:line="242" w:lineRule="auto"/>
        <w:ind w:right="105"/>
        <w:rPr>
          <w:sz w:val="20"/>
        </w:rPr>
      </w:pPr>
      <w:r>
        <w:rPr>
          <w:b/>
          <w:sz w:val="20"/>
        </w:rPr>
        <w:t>Препоръките</w:t>
      </w:r>
      <w:r>
        <w:rPr>
          <w:sz w:val="20"/>
        </w:rPr>
        <w:t xml:space="preserve"> се приемат от Съвета</w:t>
      </w:r>
      <w:r>
        <w:rPr>
          <w:sz w:val="20"/>
        </w:rPr>
        <w:t xml:space="preserve"> и не са правно обвързващи. Те представляват политически ангажимент към принципите, които съдържат, и включват очакване, че присъединилите се държави ще направят всичко възможно, за да ги изпълнят.</w:t>
      </w:r>
    </w:p>
    <w:p w14:paraId="190A3122" w14:textId="77777777" w:rsidR="00C24E7F" w:rsidRDefault="00C24E7F">
      <w:pPr>
        <w:pStyle w:val="BodyText"/>
        <w:spacing w:before="7"/>
        <w:rPr>
          <w:sz w:val="17"/>
        </w:rPr>
      </w:pPr>
    </w:p>
    <w:p w14:paraId="190A3123" w14:textId="77777777" w:rsidR="00C24E7F" w:rsidRDefault="00B01AD7">
      <w:pPr>
        <w:pStyle w:val="ListParagraph"/>
        <w:numPr>
          <w:ilvl w:val="0"/>
          <w:numId w:val="1"/>
        </w:numPr>
        <w:tabs>
          <w:tab w:val="left" w:pos="852"/>
          <w:tab w:val="left" w:pos="853"/>
        </w:tabs>
        <w:spacing w:line="242" w:lineRule="auto"/>
        <w:ind w:right="103"/>
        <w:rPr>
          <w:sz w:val="20"/>
        </w:rPr>
      </w:pPr>
      <w:r>
        <w:rPr>
          <w:b/>
          <w:sz w:val="20"/>
        </w:rPr>
        <w:t>Документите за съществени резултати</w:t>
      </w:r>
      <w:r>
        <w:rPr>
          <w:sz w:val="20"/>
        </w:rPr>
        <w:t xml:space="preserve"> се приемат от отделни</w:t>
      </w:r>
      <w:r>
        <w:rPr>
          <w:sz w:val="20"/>
        </w:rPr>
        <w:t>те изброени присъединили се страни, а не от орган на ОИСР, като резултат от среща на министерско, високо ниво или друго в рамките на Организацията. Обикновено те поставят общи принципи или дългосрочни цели и имат тържествен характер.</w:t>
      </w:r>
    </w:p>
    <w:p w14:paraId="190A3124" w14:textId="77777777" w:rsidR="00C24E7F" w:rsidRDefault="00C24E7F">
      <w:pPr>
        <w:pStyle w:val="BodyText"/>
        <w:spacing w:before="10"/>
        <w:rPr>
          <w:sz w:val="17"/>
        </w:rPr>
      </w:pPr>
    </w:p>
    <w:p w14:paraId="190A3125" w14:textId="77777777" w:rsidR="00C24E7F" w:rsidRDefault="00B01AD7">
      <w:pPr>
        <w:pStyle w:val="ListParagraph"/>
        <w:numPr>
          <w:ilvl w:val="0"/>
          <w:numId w:val="1"/>
        </w:numPr>
        <w:tabs>
          <w:tab w:val="left" w:pos="852"/>
          <w:tab w:val="left" w:pos="853"/>
        </w:tabs>
        <w:ind w:right="114"/>
        <w:rPr>
          <w:sz w:val="20"/>
        </w:rPr>
      </w:pPr>
      <w:r>
        <w:rPr>
          <w:sz w:val="20"/>
        </w:rPr>
        <w:t>В рамките на Организа</w:t>
      </w:r>
      <w:r>
        <w:rPr>
          <w:sz w:val="20"/>
        </w:rPr>
        <w:t xml:space="preserve">цията се договарят и сключват </w:t>
      </w:r>
      <w:r>
        <w:rPr>
          <w:b/>
          <w:sz w:val="20"/>
        </w:rPr>
        <w:t>международни споразумения.</w:t>
      </w:r>
      <w:r>
        <w:rPr>
          <w:sz w:val="20"/>
        </w:rPr>
        <w:t xml:space="preserve"> Те са правно обвързващи за страните.</w:t>
      </w:r>
    </w:p>
    <w:p w14:paraId="190A3126" w14:textId="77777777" w:rsidR="00C24E7F" w:rsidRDefault="00C24E7F">
      <w:pPr>
        <w:pStyle w:val="BodyText"/>
        <w:spacing w:before="7"/>
        <w:rPr>
          <w:sz w:val="19"/>
        </w:rPr>
      </w:pPr>
    </w:p>
    <w:p w14:paraId="190A3127" w14:textId="77777777" w:rsidR="00C24E7F" w:rsidRDefault="00B01AD7">
      <w:pPr>
        <w:pStyle w:val="ListParagraph"/>
        <w:numPr>
          <w:ilvl w:val="0"/>
          <w:numId w:val="1"/>
        </w:numPr>
        <w:tabs>
          <w:tab w:val="left" w:pos="852"/>
          <w:tab w:val="left" w:pos="853"/>
        </w:tabs>
        <w:ind w:right="108" w:hanging="710"/>
        <w:rPr>
          <w:sz w:val="20"/>
        </w:rPr>
      </w:pPr>
      <w:r>
        <w:rPr>
          <w:b/>
          <w:sz w:val="20"/>
        </w:rPr>
        <w:t>Споразумение, разбирателство и други</w:t>
      </w:r>
      <w:r>
        <w:rPr>
          <w:sz w:val="20"/>
        </w:rPr>
        <w:t>: няколко други типа материалноправни инструменти са разработени в рамките на ОИСР с течение на времето, като споразумението за официално подкрепяни експортни кредити, международното споразумение за принципите на морския транспорт и препоръките на Комитета</w:t>
      </w:r>
      <w:r>
        <w:rPr>
          <w:sz w:val="20"/>
        </w:rPr>
        <w:t xml:space="preserve"> за подпомагане на развитието (DAC).</w:t>
      </w:r>
    </w:p>
    <w:sectPr w:rsidR="00C24E7F">
      <w:pgSz w:w="11940" w:h="16860"/>
      <w:pgMar w:top="1300" w:right="1260" w:bottom="280" w:left="13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78F44" w14:textId="77777777" w:rsidR="00B01AD7" w:rsidRDefault="00B01AD7" w:rsidP="00B01AD7">
      <w:r>
        <w:separator/>
      </w:r>
    </w:p>
  </w:endnote>
  <w:endnote w:type="continuationSeparator" w:id="0">
    <w:p w14:paraId="5CFE8A6E" w14:textId="77777777" w:rsidR="00B01AD7" w:rsidRDefault="00B01AD7" w:rsidP="00B01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altName w:val="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ED54E8" w14:textId="77777777" w:rsidR="00B01AD7" w:rsidRDefault="00B01AD7" w:rsidP="00B01AD7">
      <w:r>
        <w:separator/>
      </w:r>
    </w:p>
  </w:footnote>
  <w:footnote w:type="continuationSeparator" w:id="0">
    <w:p w14:paraId="19ADF4F0" w14:textId="77777777" w:rsidR="00B01AD7" w:rsidRDefault="00B01AD7" w:rsidP="00B01A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ED725D"/>
    <w:multiLevelType w:val="hybridMultilevel"/>
    <w:tmpl w:val="34564FBC"/>
    <w:lvl w:ilvl="0" w:tplc="5C2A2116">
      <w:numFmt w:val="bullet"/>
      <w:lvlText w:val=""/>
      <w:lvlJc w:val="left"/>
      <w:pPr>
        <w:ind w:left="852" w:hanging="711"/>
      </w:pPr>
      <w:rPr>
        <w:rFonts w:ascii="Symbol" w:eastAsia="Symbol" w:hAnsi="Symbol" w:cs="Symbol" w:hint="default"/>
        <w:w w:val="95"/>
        <w:sz w:val="20"/>
        <w:szCs w:val="20"/>
        <w:lang w:val="en-US" w:eastAsia="en-US" w:bidi="ar-SA"/>
      </w:rPr>
    </w:lvl>
    <w:lvl w:ilvl="1" w:tplc="CC788B9E">
      <w:numFmt w:val="bullet"/>
      <w:lvlText w:val="•"/>
      <w:lvlJc w:val="left"/>
      <w:pPr>
        <w:ind w:left="1712" w:hanging="711"/>
      </w:pPr>
      <w:rPr>
        <w:rFonts w:hint="default"/>
        <w:lang w:val="en-US" w:eastAsia="en-US" w:bidi="ar-SA"/>
      </w:rPr>
    </w:lvl>
    <w:lvl w:ilvl="2" w:tplc="C914B288">
      <w:numFmt w:val="bullet"/>
      <w:lvlText w:val="•"/>
      <w:lvlJc w:val="left"/>
      <w:pPr>
        <w:ind w:left="2564" w:hanging="711"/>
      </w:pPr>
      <w:rPr>
        <w:rFonts w:hint="default"/>
        <w:lang w:val="en-US" w:eastAsia="en-US" w:bidi="ar-SA"/>
      </w:rPr>
    </w:lvl>
    <w:lvl w:ilvl="3" w:tplc="7872375E">
      <w:numFmt w:val="bullet"/>
      <w:lvlText w:val="•"/>
      <w:lvlJc w:val="left"/>
      <w:pPr>
        <w:ind w:left="3416" w:hanging="711"/>
      </w:pPr>
      <w:rPr>
        <w:rFonts w:hint="default"/>
        <w:lang w:val="en-US" w:eastAsia="en-US" w:bidi="ar-SA"/>
      </w:rPr>
    </w:lvl>
    <w:lvl w:ilvl="4" w:tplc="66204DE8">
      <w:numFmt w:val="bullet"/>
      <w:lvlText w:val="•"/>
      <w:lvlJc w:val="left"/>
      <w:pPr>
        <w:ind w:left="4268" w:hanging="711"/>
      </w:pPr>
      <w:rPr>
        <w:rFonts w:hint="default"/>
        <w:lang w:val="en-US" w:eastAsia="en-US" w:bidi="ar-SA"/>
      </w:rPr>
    </w:lvl>
    <w:lvl w:ilvl="5" w:tplc="2982DF16">
      <w:numFmt w:val="bullet"/>
      <w:lvlText w:val="•"/>
      <w:lvlJc w:val="left"/>
      <w:pPr>
        <w:ind w:left="5120" w:hanging="711"/>
      </w:pPr>
      <w:rPr>
        <w:rFonts w:hint="default"/>
        <w:lang w:val="en-US" w:eastAsia="en-US" w:bidi="ar-SA"/>
      </w:rPr>
    </w:lvl>
    <w:lvl w:ilvl="6" w:tplc="041A9440">
      <w:numFmt w:val="bullet"/>
      <w:lvlText w:val="•"/>
      <w:lvlJc w:val="left"/>
      <w:pPr>
        <w:ind w:left="5972" w:hanging="711"/>
      </w:pPr>
      <w:rPr>
        <w:rFonts w:hint="default"/>
        <w:lang w:val="en-US" w:eastAsia="en-US" w:bidi="ar-SA"/>
      </w:rPr>
    </w:lvl>
    <w:lvl w:ilvl="7" w:tplc="E7C895FC">
      <w:numFmt w:val="bullet"/>
      <w:lvlText w:val="•"/>
      <w:lvlJc w:val="left"/>
      <w:pPr>
        <w:ind w:left="6824" w:hanging="711"/>
      </w:pPr>
      <w:rPr>
        <w:rFonts w:hint="default"/>
        <w:lang w:val="en-US" w:eastAsia="en-US" w:bidi="ar-SA"/>
      </w:rPr>
    </w:lvl>
    <w:lvl w:ilvl="8" w:tplc="5BA063A2">
      <w:numFmt w:val="bullet"/>
      <w:lvlText w:val="•"/>
      <w:lvlJc w:val="left"/>
      <w:pPr>
        <w:ind w:left="7676" w:hanging="711"/>
      </w:pPr>
      <w:rPr>
        <w:rFonts w:hint="default"/>
        <w:lang w:val="en-US" w:eastAsia="en-US" w:bidi="ar-SA"/>
      </w:rPr>
    </w:lvl>
  </w:abstractNum>
  <w:abstractNum w:abstractNumId="1" w15:restartNumberingAfterBreak="0">
    <w:nsid w:val="67A6219C"/>
    <w:multiLevelType w:val="hybridMultilevel"/>
    <w:tmpl w:val="33662366"/>
    <w:lvl w:ilvl="0" w:tplc="8ABCCC1A">
      <w:start w:val="1"/>
      <w:numFmt w:val="upperRoman"/>
      <w:lvlText w:val="%1."/>
      <w:lvlJc w:val="left"/>
      <w:pPr>
        <w:ind w:left="676" w:hanging="720"/>
        <w:jc w:val="left"/>
      </w:pPr>
      <w:rPr>
        <w:rFonts w:ascii="Arial" w:eastAsia="Arial" w:hAnsi="Arial" w:cs="Arial" w:hint="default"/>
        <w:b/>
        <w:bCs/>
        <w:spacing w:val="-1"/>
        <w:w w:val="99"/>
        <w:sz w:val="20"/>
        <w:szCs w:val="20"/>
        <w:lang w:val="en-US" w:eastAsia="en-US" w:bidi="ar-SA"/>
      </w:rPr>
    </w:lvl>
    <w:lvl w:ilvl="1" w:tplc="8DD0DCCE">
      <w:start w:val="1"/>
      <w:numFmt w:val="decimal"/>
      <w:lvlText w:val="%2."/>
      <w:lvlJc w:val="left"/>
      <w:pPr>
        <w:ind w:left="676" w:hanging="720"/>
        <w:jc w:val="left"/>
      </w:pPr>
      <w:rPr>
        <w:rFonts w:ascii="Arial" w:eastAsia="Arial" w:hAnsi="Arial" w:cs="Arial" w:hint="default"/>
        <w:spacing w:val="-1"/>
        <w:w w:val="99"/>
        <w:sz w:val="20"/>
        <w:szCs w:val="20"/>
        <w:lang w:val="en-US" w:eastAsia="en-US" w:bidi="ar-SA"/>
      </w:rPr>
    </w:lvl>
    <w:lvl w:ilvl="2" w:tplc="5BD2DD60">
      <w:start w:val="1"/>
      <w:numFmt w:val="lowerLetter"/>
      <w:lvlText w:val="%3)"/>
      <w:lvlJc w:val="left"/>
      <w:pPr>
        <w:ind w:left="1809" w:hanging="425"/>
        <w:jc w:val="left"/>
      </w:pPr>
      <w:rPr>
        <w:rFonts w:ascii="Arial" w:eastAsia="Arial" w:hAnsi="Arial" w:cs="Arial" w:hint="default"/>
        <w:spacing w:val="-1"/>
        <w:w w:val="99"/>
        <w:sz w:val="20"/>
        <w:szCs w:val="20"/>
        <w:lang w:val="en-US" w:eastAsia="en-US" w:bidi="ar-SA"/>
      </w:rPr>
    </w:lvl>
    <w:lvl w:ilvl="3" w:tplc="5FCA62CE">
      <w:numFmt w:val="bullet"/>
      <w:lvlText w:val="•"/>
      <w:lvlJc w:val="left"/>
      <w:pPr>
        <w:ind w:left="3721" w:hanging="425"/>
      </w:pPr>
      <w:rPr>
        <w:rFonts w:hint="default"/>
        <w:lang w:val="en-US" w:eastAsia="en-US" w:bidi="ar-SA"/>
      </w:rPr>
    </w:lvl>
    <w:lvl w:ilvl="4" w:tplc="12DCD392">
      <w:numFmt w:val="bullet"/>
      <w:lvlText w:val="•"/>
      <w:lvlJc w:val="left"/>
      <w:pPr>
        <w:ind w:left="4682" w:hanging="425"/>
      </w:pPr>
      <w:rPr>
        <w:rFonts w:hint="default"/>
        <w:lang w:val="en-US" w:eastAsia="en-US" w:bidi="ar-SA"/>
      </w:rPr>
    </w:lvl>
    <w:lvl w:ilvl="5" w:tplc="3BCC9178">
      <w:numFmt w:val="bullet"/>
      <w:lvlText w:val="•"/>
      <w:lvlJc w:val="left"/>
      <w:pPr>
        <w:ind w:left="5642" w:hanging="425"/>
      </w:pPr>
      <w:rPr>
        <w:rFonts w:hint="default"/>
        <w:lang w:val="en-US" w:eastAsia="en-US" w:bidi="ar-SA"/>
      </w:rPr>
    </w:lvl>
    <w:lvl w:ilvl="6" w:tplc="5582B9EC">
      <w:numFmt w:val="bullet"/>
      <w:lvlText w:val="•"/>
      <w:lvlJc w:val="left"/>
      <w:pPr>
        <w:ind w:left="6603" w:hanging="425"/>
      </w:pPr>
      <w:rPr>
        <w:rFonts w:hint="default"/>
        <w:lang w:val="en-US" w:eastAsia="en-US" w:bidi="ar-SA"/>
      </w:rPr>
    </w:lvl>
    <w:lvl w:ilvl="7" w:tplc="3508D6DA">
      <w:numFmt w:val="bullet"/>
      <w:lvlText w:val="•"/>
      <w:lvlJc w:val="left"/>
      <w:pPr>
        <w:ind w:left="7564" w:hanging="425"/>
      </w:pPr>
      <w:rPr>
        <w:rFonts w:hint="default"/>
        <w:lang w:val="en-US" w:eastAsia="en-US" w:bidi="ar-SA"/>
      </w:rPr>
    </w:lvl>
    <w:lvl w:ilvl="8" w:tplc="1F661040">
      <w:numFmt w:val="bullet"/>
      <w:lvlText w:val="•"/>
      <w:lvlJc w:val="left"/>
      <w:pPr>
        <w:ind w:left="8524" w:hanging="425"/>
      </w:pPr>
      <w:rPr>
        <w:rFonts w:hint="default"/>
        <w:lang w:val="en-US" w:eastAsia="en-US" w:bidi="ar-S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useFELayout/>
    <w:compatSetting w:name="compatibilityMode" w:uri="http://schemas.microsoft.com/office/word" w:val="12"/>
    <w:compatSetting w:name="useWord2013TrackBottomHyphenation" w:uri="http://schemas.microsoft.com/office/word" w:val="1"/>
  </w:compat>
  <w:rsids>
    <w:rsidRoot w:val="00C24E7F"/>
    <w:rsid w:val="002439EA"/>
    <w:rsid w:val="00B01AD7"/>
    <w:rsid w:val="00C24E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44"/>
    <o:shapelayout v:ext="edit">
      <o:idmap v:ext="edit" data="1"/>
    </o:shapelayout>
  </w:shapeDefaults>
  <w:decimalSymbol w:val=","/>
  <w:listSeparator w:val=";"/>
  <w14:docId w14:val="190A305F"/>
  <w15:docId w15:val="{BDC0A31C-D0A9-40A0-AEFD-BE6EF6A45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1755"/>
      <w:outlineLvl w:val="0"/>
    </w:pPr>
    <w:rPr>
      <w:sz w:val="40"/>
      <w:szCs w:val="40"/>
    </w:rPr>
  </w:style>
  <w:style w:type="paragraph" w:styleId="Heading2">
    <w:name w:val="heading 2"/>
    <w:basedOn w:val="Normal"/>
    <w:uiPriority w:val="9"/>
    <w:unhideWhenUsed/>
    <w:qFormat/>
    <w:pPr>
      <w:spacing w:before="73"/>
      <w:ind w:left="116"/>
      <w:jc w:val="both"/>
      <w:outlineLvl w:val="1"/>
    </w:pPr>
    <w:rPr>
      <w:b/>
      <w:bCs/>
      <w:sz w:val="24"/>
      <w:szCs w:val="24"/>
    </w:rPr>
  </w:style>
  <w:style w:type="paragraph" w:styleId="Heading3">
    <w:name w:val="heading 3"/>
    <w:basedOn w:val="Normal"/>
    <w:uiPriority w:val="9"/>
    <w:unhideWhenUsed/>
    <w:qFormat/>
    <w:pPr>
      <w:ind w:left="676"/>
      <w:jc w:val="both"/>
      <w:outlineLvl w:val="2"/>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pPr>
      <w:ind w:left="1809" w:right="697" w:hanging="425"/>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B01AD7"/>
    <w:pPr>
      <w:tabs>
        <w:tab w:val="center" w:pos="4513"/>
        <w:tab w:val="right" w:pos="9026"/>
      </w:tabs>
    </w:pPr>
  </w:style>
  <w:style w:type="character" w:customStyle="1" w:styleId="HeaderChar">
    <w:name w:val="Header Char"/>
    <w:basedOn w:val="DefaultParagraphFont"/>
    <w:link w:val="Header"/>
    <w:uiPriority w:val="99"/>
    <w:rsid w:val="00B01AD7"/>
    <w:rPr>
      <w:rFonts w:ascii="Arial" w:eastAsia="Arial" w:hAnsi="Arial" w:cs="Arial"/>
    </w:rPr>
  </w:style>
  <w:style w:type="paragraph" w:styleId="Footer">
    <w:name w:val="footer"/>
    <w:basedOn w:val="Normal"/>
    <w:link w:val="FooterChar"/>
    <w:uiPriority w:val="99"/>
    <w:unhideWhenUsed/>
    <w:rsid w:val="00B01AD7"/>
    <w:pPr>
      <w:tabs>
        <w:tab w:val="center" w:pos="4513"/>
        <w:tab w:val="right" w:pos="9026"/>
      </w:tabs>
    </w:pPr>
  </w:style>
  <w:style w:type="character" w:customStyle="1" w:styleId="FooterChar">
    <w:name w:val="Footer Char"/>
    <w:basedOn w:val="DefaultParagraphFont"/>
    <w:link w:val="Footer"/>
    <w:uiPriority w:val="99"/>
    <w:rsid w:val="00B01AD7"/>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legalinstruments.oecd.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legalinstruments.oecd.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FE37CB227E4C7849B4B894363CED3B18" ma:contentTypeVersion="12" ma:contentTypeDescription="Създаване на нов документ" ma:contentTypeScope="" ma:versionID="fe7b4f7cbc69a318508ed03415694e09">
  <xsd:schema xmlns:xsd="http://www.w3.org/2001/XMLSchema" xmlns:xs="http://www.w3.org/2001/XMLSchema" xmlns:p="http://schemas.microsoft.com/office/2006/metadata/properties" xmlns:ns2="1c2649c6-0f6a-432e-8083-5d1192364e9a" xmlns:ns3="5adc7b8d-49ae-46df-b2d3-cd95f9860e28" targetNamespace="http://schemas.microsoft.com/office/2006/metadata/properties" ma:root="true" ma:fieldsID="a31f7c45ecc6cfeccb12657c7b0545d3" ns2:_="" ns3:_="">
    <xsd:import namespace="1c2649c6-0f6a-432e-8083-5d1192364e9a"/>
    <xsd:import namespace="5adc7b8d-49ae-46df-b2d3-cd95f9860e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649c6-0f6a-432e-8083-5d1192364e9a" elementFormDefault="qualified">
    <xsd:import namespace="http://schemas.microsoft.com/office/2006/documentManagement/types"/>
    <xsd:import namespace="http://schemas.microsoft.com/office/infopath/2007/PartnerControls"/>
    <xsd:element name="SharedWithUsers" ma:index="8" nillable="true" ma:displayName="Споделено 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Споделени с подробности"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adc7b8d-49ae-46df-b2d3-cd95f9860e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съдържание"/>
        <xsd:element ref="dc:title" minOccurs="0" maxOccurs="1" ma:index="4" ma:displayName="Заглав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6056DD-D5EB-49DB-AE7F-D86D95C8C6BA}"/>
</file>

<file path=customXml/itemProps2.xml><?xml version="1.0" encoding="utf-8"?>
<ds:datastoreItem xmlns:ds="http://schemas.openxmlformats.org/officeDocument/2006/customXml" ds:itemID="{16871C0E-AAF8-48D1-BD5C-6CA17F66538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DB7860D-7FDB-43D6-9E7A-8DAF075996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1833</Words>
  <Characters>10452</Characters>
  <Application>Microsoft Office Word</Application>
  <DocSecurity>0</DocSecurity>
  <Lines>87</Lines>
  <Paragraphs>24</Paragraphs>
  <ScaleCrop>false</ScaleCrop>
  <Company/>
  <LinksUpToDate>false</LinksUpToDate>
  <CharactersWithSpaces>12261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Kemal ERDOGAN</dc:creator>
  <cp:lastModifiedBy>Kristina T</cp:lastModifiedBy>
  <cp:revision>3</cp:revision>
  <dcterms:created xsi:type="dcterms:W3CDTF">2022-01-19T08:52:00Z</dcterms:created>
  <dcterms:modified xsi:type="dcterms:W3CDTF">2022-01-31T08:55:00Z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2021-11-23T00:00:00Z</vt:filetime>
  </property>
  <property fmtid="{D5CDD505-2E9C-101B-9397-08002B2CF9AE}" pid="3" name="Creator">
    <vt:lpwstr>Microsoft® Word 2016</vt:lpwstr>
  </property>
  <property fmtid="{D5CDD505-2E9C-101B-9397-08002B2CF9AE}" pid="4" name="LastSaved">
    <vt:filetime>2022-01-19T00:00:00Z</vt:filetime>
  </property>
  <property fmtid="{D5CDD505-2E9C-101B-9397-08002B2CF9AE}" pid="5" name="ContentTypeId">
    <vt:lpwstr>0x010100FE37CB227E4C7849B4B894363CED3B18</vt:lpwstr>
  </property>
</Properties>
</file>